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D2723" w:rsidRPr="00B9738C" w:rsidRDefault="008D2723" w:rsidP="008D2723">
      <w:pPr>
        <w:jc w:val="right"/>
        <w:rPr>
          <w:rFonts w:ascii="Book Antiqua" w:hAnsi="Book Antiqua" w:cs="Arial"/>
          <w:b/>
        </w:rPr>
      </w:pPr>
    </w:p>
    <w:p w:rsidR="008D2723" w:rsidRPr="008240FA" w:rsidRDefault="008D2723" w:rsidP="008D2723">
      <w:pPr>
        <w:jc w:val="right"/>
        <w:rPr>
          <w:rFonts w:ascii="Book Antiqua" w:hAnsi="Book Antiqua"/>
        </w:rPr>
      </w:pPr>
      <w:r w:rsidRPr="008240FA">
        <w:rPr>
          <w:rFonts w:ascii="Book Antiqua" w:hAnsi="Book Antiqua" w:cs="Arial"/>
          <w:b/>
        </w:rPr>
        <w:t>Ref. Oficio SEPREM–DA-</w:t>
      </w:r>
      <w:r>
        <w:rPr>
          <w:rFonts w:ascii="Book Antiqua" w:hAnsi="Book Antiqua" w:cs="Arial"/>
          <w:b/>
        </w:rPr>
        <w:t>0</w:t>
      </w:r>
      <w:r w:rsidR="00CB2839">
        <w:rPr>
          <w:rFonts w:ascii="Book Antiqua" w:hAnsi="Book Antiqua" w:cs="Arial"/>
          <w:b/>
        </w:rPr>
        <w:t>29</w:t>
      </w:r>
      <w:r w:rsidRPr="008240FA">
        <w:rPr>
          <w:rFonts w:ascii="Book Antiqua" w:hAnsi="Book Antiqua" w:cs="Arial"/>
          <w:b/>
        </w:rPr>
        <w:t>-</w:t>
      </w:r>
      <w:r w:rsidRPr="008240FA">
        <w:rPr>
          <w:rFonts w:ascii="Book Antiqua" w:hAnsi="Book Antiqua"/>
          <w:b/>
        </w:rPr>
        <w:t>202</w:t>
      </w:r>
      <w:r>
        <w:rPr>
          <w:rFonts w:ascii="Book Antiqua" w:hAnsi="Book Antiqua"/>
          <w:b/>
        </w:rPr>
        <w:t>1</w:t>
      </w:r>
    </w:p>
    <w:p w:rsidR="008D2723" w:rsidRPr="008240FA" w:rsidRDefault="008D2723" w:rsidP="008D2723">
      <w:pPr>
        <w:jc w:val="right"/>
        <w:rPr>
          <w:rFonts w:ascii="Book Antiqua" w:hAnsi="Book Antiqua"/>
        </w:rPr>
      </w:pPr>
      <w:r w:rsidRPr="008240FA">
        <w:rPr>
          <w:rFonts w:ascii="Book Antiqua" w:hAnsi="Book Antiqua"/>
        </w:rPr>
        <w:t xml:space="preserve">Guatemala, </w:t>
      </w:r>
      <w:r>
        <w:rPr>
          <w:rFonts w:ascii="Book Antiqua" w:hAnsi="Book Antiqua"/>
        </w:rPr>
        <w:t>0</w:t>
      </w:r>
      <w:r w:rsidR="00CB2839">
        <w:rPr>
          <w:rFonts w:ascii="Book Antiqua" w:hAnsi="Book Antiqua"/>
        </w:rPr>
        <w:t>3</w:t>
      </w:r>
      <w:r w:rsidRPr="008240FA">
        <w:rPr>
          <w:rFonts w:ascii="Book Antiqua" w:hAnsi="Book Antiqua"/>
        </w:rPr>
        <w:t xml:space="preserve"> de </w:t>
      </w:r>
      <w:r>
        <w:rPr>
          <w:rFonts w:ascii="Book Antiqua" w:hAnsi="Book Antiqua"/>
        </w:rPr>
        <w:t>febrero</w:t>
      </w:r>
      <w:r w:rsidRPr="008240FA">
        <w:rPr>
          <w:rFonts w:ascii="Book Antiqua" w:hAnsi="Book Antiqua"/>
        </w:rPr>
        <w:t xml:space="preserve"> de 202</w:t>
      </w:r>
      <w:r>
        <w:rPr>
          <w:rFonts w:ascii="Book Antiqua" w:hAnsi="Book Antiqua"/>
        </w:rPr>
        <w:t>1</w:t>
      </w:r>
    </w:p>
    <w:p w:rsidR="008D2723" w:rsidRPr="008240FA" w:rsidRDefault="008D2723" w:rsidP="008D2723">
      <w:pPr>
        <w:jc w:val="both"/>
        <w:rPr>
          <w:rFonts w:ascii="Book Antiqua" w:hAnsi="Book Antiqua"/>
          <w:b/>
        </w:rPr>
      </w:pPr>
    </w:p>
    <w:p w:rsidR="008D2723" w:rsidRPr="008240FA" w:rsidRDefault="008D2723" w:rsidP="008D2723">
      <w:pPr>
        <w:jc w:val="both"/>
        <w:rPr>
          <w:rFonts w:ascii="Book Antiqua" w:hAnsi="Book Antiqua"/>
          <w:b/>
        </w:rPr>
      </w:pPr>
    </w:p>
    <w:p w:rsidR="008D2723" w:rsidRPr="008240FA" w:rsidRDefault="008D2723" w:rsidP="008D2723">
      <w:pPr>
        <w:jc w:val="both"/>
        <w:rPr>
          <w:rFonts w:ascii="Book Antiqua" w:hAnsi="Book Antiqua"/>
          <w:b/>
        </w:rPr>
      </w:pPr>
    </w:p>
    <w:p w:rsidR="008D2723" w:rsidRPr="008240FA" w:rsidRDefault="008D2723" w:rsidP="008D2723">
      <w:pPr>
        <w:jc w:val="both"/>
        <w:rPr>
          <w:rFonts w:ascii="Book Antiqua" w:hAnsi="Book Antiqua"/>
          <w:b/>
        </w:rPr>
      </w:pPr>
      <w:r w:rsidRPr="008240FA">
        <w:rPr>
          <w:rFonts w:ascii="Book Antiqua" w:hAnsi="Book Antiqua"/>
          <w:b/>
        </w:rPr>
        <w:t>Señora</w:t>
      </w:r>
    </w:p>
    <w:p w:rsidR="008D2723" w:rsidRPr="008240FA" w:rsidRDefault="008D2723" w:rsidP="008D2723">
      <w:pPr>
        <w:jc w:val="both"/>
        <w:rPr>
          <w:rFonts w:ascii="Book Antiqua" w:hAnsi="Book Antiqua" w:cs="Arial"/>
          <w:b/>
        </w:rPr>
      </w:pPr>
      <w:r w:rsidRPr="008240FA">
        <w:rPr>
          <w:rFonts w:ascii="Book Antiqua" w:hAnsi="Book Antiqua" w:cs="Arial"/>
          <w:b/>
        </w:rPr>
        <w:t>Sandra Méndez</w:t>
      </w:r>
    </w:p>
    <w:p w:rsidR="008D2723" w:rsidRPr="008240FA" w:rsidRDefault="008D2723" w:rsidP="008D2723">
      <w:pPr>
        <w:jc w:val="both"/>
        <w:rPr>
          <w:rFonts w:ascii="Book Antiqua" w:hAnsi="Book Antiqua" w:cs="Arial"/>
          <w:b/>
        </w:rPr>
      </w:pPr>
      <w:r w:rsidRPr="008240FA">
        <w:rPr>
          <w:rFonts w:ascii="Book Antiqua" w:hAnsi="Book Antiqua" w:cs="Arial"/>
          <w:b/>
        </w:rPr>
        <w:t>Suplente de la Unidad Información Pública</w:t>
      </w: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En cumplimiento a la Ley del acceso a la Información Pública Decreto 57-2008, se adjunta física y electrónica la información de ejecución con base en el artículo 10 de la Ley en mención, correspondiente al mes de </w:t>
      </w:r>
      <w:r>
        <w:rPr>
          <w:rFonts w:ascii="Book Antiqua" w:hAnsi="Book Antiqua" w:cs="Arial"/>
        </w:rPr>
        <w:t>enero</w:t>
      </w:r>
      <w:r w:rsidRPr="008240FA">
        <w:rPr>
          <w:rFonts w:ascii="Book Antiqua" w:hAnsi="Book Antiqua" w:cs="Arial"/>
        </w:rPr>
        <w:t xml:space="preserve"> 202</w:t>
      </w:r>
      <w:r>
        <w:rPr>
          <w:rFonts w:ascii="Book Antiqua" w:hAnsi="Book Antiqua" w:cs="Arial"/>
        </w:rPr>
        <w:t>1</w:t>
      </w:r>
      <w:r w:rsidRPr="008240FA">
        <w:rPr>
          <w:rFonts w:ascii="Book Antiqua" w:hAnsi="Book Antiqua" w:cs="Arial"/>
        </w:rPr>
        <w:t xml:space="preserve"> de la Dirección Administrativa, específicamente los numerales que se citan a continuación.</w:t>
      </w: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Asimismo, lo que establece el Artículo 17 TER Literal d) del Decreto No. 101-97 e Informe Mensual que corresponde a las Medidas de Eficiencia y Calidad del Gasto del mes de </w:t>
      </w:r>
      <w:r>
        <w:rPr>
          <w:rFonts w:ascii="Book Antiqua" w:hAnsi="Book Antiqua" w:cs="Arial"/>
        </w:rPr>
        <w:t>enero</w:t>
      </w:r>
      <w:r w:rsidRPr="008240FA">
        <w:rPr>
          <w:rFonts w:ascii="Book Antiqua" w:hAnsi="Book Antiqua" w:cs="Arial"/>
        </w:rPr>
        <w:t xml:space="preserve"> 202</w:t>
      </w:r>
      <w:r>
        <w:rPr>
          <w:rFonts w:ascii="Book Antiqua" w:hAnsi="Book Antiqua" w:cs="Arial"/>
        </w:rPr>
        <w:t>1</w:t>
      </w:r>
      <w:r w:rsidRPr="008240FA">
        <w:rPr>
          <w:rFonts w:ascii="Book Antiqua" w:hAnsi="Book Antiqua" w:cs="Arial"/>
        </w:rPr>
        <w:t>.</w:t>
      </w:r>
    </w:p>
    <w:p w:rsidR="008D2723" w:rsidRPr="008240FA" w:rsidRDefault="008D2723" w:rsidP="008D2723">
      <w:pPr>
        <w:pStyle w:val="Sinespaciado"/>
      </w:pPr>
    </w:p>
    <w:p w:rsidR="008D2723" w:rsidRPr="008240FA" w:rsidRDefault="008D2723" w:rsidP="008D2723">
      <w:pPr>
        <w:tabs>
          <w:tab w:val="left" w:pos="7305"/>
        </w:tabs>
        <w:jc w:val="both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ab/>
      </w:r>
    </w:p>
    <w:p w:rsidR="008D2723" w:rsidRPr="008240FA" w:rsidRDefault="008D2723" w:rsidP="008D2723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Artículo 10, Decreto 57-2008</w:t>
      </w: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>Numeral 2.  Dirección y teléfonos de la entidad y todas las dependencias que la conforman, folio 1.</w:t>
      </w:r>
    </w:p>
    <w:p w:rsidR="008D2723" w:rsidRPr="008240FA" w:rsidRDefault="008D2723" w:rsidP="008D2723">
      <w:pPr>
        <w:pStyle w:val="Prrafodelista"/>
        <w:tabs>
          <w:tab w:val="left" w:pos="6840"/>
        </w:tabs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ab/>
      </w: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>Numeral 2. Dirección y teléfonos de las oficinas departamentales, folios 2.</w:t>
      </w:r>
    </w:p>
    <w:p w:rsidR="008D2723" w:rsidRPr="008240FA" w:rsidRDefault="008D2723" w:rsidP="008D2723">
      <w:pPr>
        <w:pStyle w:val="Prrafodelista"/>
        <w:tabs>
          <w:tab w:val="left" w:pos="6135"/>
        </w:tabs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ab/>
      </w: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11. Contrataciones de bienes y servicios, Servicios Subgrupo 18 que son utilizados por los sujetos obligados, folio </w:t>
      </w:r>
      <w:r>
        <w:rPr>
          <w:rFonts w:ascii="Book Antiqua" w:hAnsi="Book Antiqua" w:cs="Arial"/>
          <w:sz w:val="24"/>
          <w:szCs w:val="24"/>
        </w:rPr>
        <w:t>3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8240FA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>Numeral 11 Información de procesos contrataciones: 1) Compras Directas con Oferta Electrónica; 2) Arrendamiento de Bienes Inmuebles; 3) Compra de Baja Cuantía; 4) Procedimientos Regulados (Casos de Excepción) 5) No Aplica a la Ley de Contrataciones</w:t>
      </w:r>
      <w:r>
        <w:rPr>
          <w:rFonts w:ascii="Book Antiqua" w:hAnsi="Book Antiqua" w:cs="Arial"/>
          <w:sz w:val="24"/>
          <w:szCs w:val="24"/>
        </w:rPr>
        <w:t>; Adquisición Directa por Ausencia de Oferta (Art. 32 LCE)</w:t>
      </w:r>
      <w:r w:rsidRPr="008240FA">
        <w:rPr>
          <w:rFonts w:ascii="Book Antiqua" w:hAnsi="Book Antiqua" w:cs="Arial"/>
          <w:sz w:val="24"/>
          <w:szCs w:val="24"/>
        </w:rPr>
        <w:t xml:space="preserve"> folio </w:t>
      </w:r>
      <w:r>
        <w:rPr>
          <w:rFonts w:ascii="Book Antiqua" w:hAnsi="Book Antiqua" w:cs="Arial"/>
          <w:sz w:val="24"/>
          <w:szCs w:val="24"/>
        </w:rPr>
        <w:t>4</w:t>
      </w:r>
      <w:r w:rsidRPr="008240FA">
        <w:rPr>
          <w:rFonts w:ascii="Book Antiqua" w:hAnsi="Book Antiqua" w:cs="Arial"/>
          <w:sz w:val="24"/>
          <w:szCs w:val="24"/>
        </w:rPr>
        <w:t xml:space="preserve"> al </w:t>
      </w:r>
      <w:r w:rsidR="00876C2B">
        <w:rPr>
          <w:rFonts w:ascii="Book Antiqua" w:hAnsi="Book Antiqua" w:cs="Arial"/>
          <w:sz w:val="24"/>
          <w:szCs w:val="24"/>
        </w:rPr>
        <w:t>2</w:t>
      </w:r>
      <w:r w:rsidR="00A36422">
        <w:rPr>
          <w:rFonts w:ascii="Book Antiqua" w:hAnsi="Book Antiqua" w:cs="Arial"/>
          <w:sz w:val="24"/>
          <w:szCs w:val="24"/>
        </w:rPr>
        <w:t>2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8240FA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14. En el presente mes no se suscribieron Contratos de Mantenimientos, folio </w:t>
      </w:r>
      <w:r w:rsidR="00876C2B">
        <w:rPr>
          <w:rFonts w:ascii="Book Antiqua" w:hAnsi="Book Antiqua" w:cs="Arial"/>
          <w:sz w:val="24"/>
          <w:szCs w:val="24"/>
        </w:rPr>
        <w:t>2</w:t>
      </w:r>
      <w:r w:rsidR="00A36422">
        <w:rPr>
          <w:rFonts w:ascii="Book Antiqua" w:hAnsi="Book Antiqua" w:cs="Arial"/>
          <w:sz w:val="24"/>
          <w:szCs w:val="24"/>
        </w:rPr>
        <w:t>3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19. Contratos de arrendamientos de inmuebles, equipo, maquinaria o cualquier otro bien o servicio, folio </w:t>
      </w:r>
      <w:r>
        <w:rPr>
          <w:rFonts w:ascii="Book Antiqua" w:hAnsi="Book Antiqua" w:cs="Arial"/>
          <w:sz w:val="24"/>
          <w:szCs w:val="24"/>
        </w:rPr>
        <w:t>2</w:t>
      </w:r>
      <w:r w:rsidR="00A36422">
        <w:rPr>
          <w:rFonts w:ascii="Book Antiqua" w:hAnsi="Book Antiqua" w:cs="Arial"/>
          <w:sz w:val="24"/>
          <w:szCs w:val="24"/>
        </w:rPr>
        <w:t>4</w:t>
      </w:r>
      <w:r w:rsidR="00876C2B">
        <w:rPr>
          <w:rFonts w:ascii="Book Antiqua" w:hAnsi="Book Antiqua" w:cs="Arial"/>
          <w:sz w:val="24"/>
          <w:szCs w:val="24"/>
        </w:rPr>
        <w:t xml:space="preserve"> al 3</w:t>
      </w:r>
      <w:r w:rsidR="00A36422">
        <w:rPr>
          <w:rFonts w:ascii="Book Antiqua" w:hAnsi="Book Antiqua" w:cs="Arial"/>
          <w:sz w:val="24"/>
          <w:szCs w:val="24"/>
        </w:rPr>
        <w:t>1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DE43FD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lastRenderedPageBreak/>
        <w:t xml:space="preserve">Numeral 20.  Contrataciones a través de procesos de cotización y licitación y sus contratos respectivos, procesos de cotización, folio </w:t>
      </w:r>
      <w:r>
        <w:rPr>
          <w:rFonts w:ascii="Book Antiqua" w:hAnsi="Book Antiqua" w:cs="Arial"/>
          <w:sz w:val="24"/>
          <w:szCs w:val="24"/>
        </w:rPr>
        <w:t>3</w:t>
      </w:r>
      <w:r w:rsidR="00A36422">
        <w:rPr>
          <w:rFonts w:ascii="Book Antiqua" w:hAnsi="Book Antiqua" w:cs="Arial"/>
          <w:sz w:val="24"/>
          <w:szCs w:val="24"/>
        </w:rPr>
        <w:t>2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DC2677" w:rsidRDefault="008D2723" w:rsidP="008D272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Numeral 22.  Compras Directas (Compras Directas pagados por cheque y por acreditamiento), folio </w:t>
      </w:r>
      <w:r w:rsidR="00876C2B">
        <w:rPr>
          <w:rFonts w:ascii="Book Antiqua" w:hAnsi="Book Antiqua" w:cs="Arial"/>
          <w:sz w:val="24"/>
          <w:szCs w:val="24"/>
        </w:rPr>
        <w:t>3</w:t>
      </w:r>
      <w:r w:rsidR="00A36422">
        <w:rPr>
          <w:rFonts w:ascii="Book Antiqua" w:hAnsi="Book Antiqua" w:cs="Arial"/>
          <w:sz w:val="24"/>
          <w:szCs w:val="24"/>
        </w:rPr>
        <w:t>3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8240FA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Artículo 17 TER literal d) Decreto 101-97</w:t>
      </w:r>
    </w:p>
    <w:p w:rsidR="008D2723" w:rsidRPr="008240FA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>Programación de arrendamientos de Edificios del folio</w:t>
      </w:r>
      <w:r w:rsidR="006A5DFB">
        <w:rPr>
          <w:rFonts w:ascii="Book Antiqua" w:hAnsi="Book Antiqua" w:cs="Arial"/>
          <w:sz w:val="24"/>
          <w:szCs w:val="24"/>
        </w:rPr>
        <w:t xml:space="preserve"> </w:t>
      </w:r>
      <w:r w:rsidR="00876C2B">
        <w:rPr>
          <w:rFonts w:ascii="Book Antiqua" w:hAnsi="Book Antiqua" w:cs="Arial"/>
          <w:sz w:val="24"/>
          <w:szCs w:val="24"/>
        </w:rPr>
        <w:t>3</w:t>
      </w:r>
      <w:r w:rsidR="00A36422">
        <w:rPr>
          <w:rFonts w:ascii="Book Antiqua" w:hAnsi="Book Antiqua" w:cs="Arial"/>
          <w:sz w:val="24"/>
          <w:szCs w:val="24"/>
        </w:rPr>
        <w:t>4</w:t>
      </w:r>
      <w:r w:rsidR="00876C2B">
        <w:rPr>
          <w:rFonts w:ascii="Book Antiqua" w:hAnsi="Book Antiqua" w:cs="Arial"/>
          <w:sz w:val="24"/>
          <w:szCs w:val="24"/>
        </w:rPr>
        <w:t xml:space="preserve"> al 4</w:t>
      </w:r>
      <w:r w:rsidR="00A36422">
        <w:rPr>
          <w:rFonts w:ascii="Book Antiqua" w:hAnsi="Book Antiqua" w:cs="Arial"/>
          <w:sz w:val="24"/>
          <w:szCs w:val="24"/>
        </w:rPr>
        <w:t>1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8240FA" w:rsidRDefault="008D2723" w:rsidP="008D2723">
      <w:pPr>
        <w:pStyle w:val="Prrafodelista"/>
        <w:spacing w:after="0" w:line="240" w:lineRule="auto"/>
        <w:ind w:left="360"/>
        <w:jc w:val="both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jc w:val="both"/>
        <w:rPr>
          <w:rFonts w:ascii="Book Antiqua" w:hAnsi="Book Antiqua" w:cs="Arial"/>
          <w:b/>
          <w:u w:val="single"/>
        </w:rPr>
      </w:pPr>
      <w:r w:rsidRPr="008240FA">
        <w:rPr>
          <w:rFonts w:ascii="Book Antiqua" w:hAnsi="Book Antiqua" w:cs="Arial"/>
          <w:b/>
          <w:u w:val="single"/>
        </w:rPr>
        <w:t>Medidas de Eficiencia y Calidad del Gasto</w:t>
      </w:r>
    </w:p>
    <w:p w:rsidR="008D2723" w:rsidRPr="008240FA" w:rsidRDefault="008D2723" w:rsidP="008D2723">
      <w:pPr>
        <w:pStyle w:val="Prrafodelista"/>
        <w:rPr>
          <w:rFonts w:ascii="Book Antiqua" w:hAnsi="Book Antiqua" w:cs="Arial"/>
          <w:sz w:val="24"/>
          <w:szCs w:val="24"/>
        </w:rPr>
      </w:pPr>
    </w:p>
    <w:p w:rsidR="008D2723" w:rsidRPr="008240FA" w:rsidRDefault="008D2723" w:rsidP="008D2723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Book Antiqua" w:hAnsi="Book Antiqua" w:cs="Arial"/>
          <w:sz w:val="24"/>
          <w:szCs w:val="24"/>
        </w:rPr>
      </w:pPr>
      <w:r w:rsidRPr="008240FA">
        <w:rPr>
          <w:rFonts w:ascii="Book Antiqua" w:hAnsi="Book Antiqua" w:cs="Arial"/>
          <w:sz w:val="24"/>
          <w:szCs w:val="24"/>
        </w:rPr>
        <w:t xml:space="preserve">Informe mensual, folio del </w:t>
      </w:r>
      <w:r w:rsidR="00876C2B">
        <w:rPr>
          <w:rFonts w:ascii="Book Antiqua" w:hAnsi="Book Antiqua" w:cs="Arial"/>
          <w:sz w:val="24"/>
          <w:szCs w:val="24"/>
        </w:rPr>
        <w:t>4</w:t>
      </w:r>
      <w:r w:rsidR="00A36422">
        <w:rPr>
          <w:rFonts w:ascii="Book Antiqua" w:hAnsi="Book Antiqua" w:cs="Arial"/>
          <w:sz w:val="24"/>
          <w:szCs w:val="24"/>
        </w:rPr>
        <w:t>2</w:t>
      </w:r>
      <w:r w:rsidRPr="008240FA">
        <w:rPr>
          <w:rFonts w:ascii="Book Antiqua" w:hAnsi="Book Antiqua" w:cs="Arial"/>
          <w:sz w:val="24"/>
          <w:szCs w:val="24"/>
        </w:rPr>
        <w:t xml:space="preserve"> al</w:t>
      </w:r>
      <w:r w:rsidR="006A5DFB">
        <w:rPr>
          <w:rFonts w:ascii="Book Antiqua" w:hAnsi="Book Antiqua" w:cs="Arial"/>
          <w:sz w:val="24"/>
          <w:szCs w:val="24"/>
        </w:rPr>
        <w:t xml:space="preserve"> </w:t>
      </w:r>
      <w:r w:rsidR="00876C2B">
        <w:rPr>
          <w:rFonts w:ascii="Book Antiqua" w:hAnsi="Book Antiqua" w:cs="Arial"/>
          <w:sz w:val="24"/>
          <w:szCs w:val="24"/>
        </w:rPr>
        <w:t>4</w:t>
      </w:r>
      <w:r w:rsidR="00A36422">
        <w:rPr>
          <w:rFonts w:ascii="Book Antiqua" w:hAnsi="Book Antiqua" w:cs="Arial"/>
          <w:sz w:val="24"/>
          <w:szCs w:val="24"/>
        </w:rPr>
        <w:t>5</w:t>
      </w:r>
      <w:r w:rsidRPr="008240FA">
        <w:rPr>
          <w:rFonts w:ascii="Book Antiqua" w:hAnsi="Book Antiqua" w:cs="Arial"/>
          <w:sz w:val="24"/>
          <w:szCs w:val="24"/>
        </w:rPr>
        <w:t>.</w:t>
      </w:r>
    </w:p>
    <w:p w:rsidR="008D2723" w:rsidRPr="008240FA" w:rsidRDefault="008D2723" w:rsidP="008D272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tabs>
          <w:tab w:val="left" w:pos="2565"/>
          <w:tab w:val="left" w:pos="3075"/>
        </w:tabs>
        <w:jc w:val="both"/>
        <w:rPr>
          <w:rFonts w:ascii="Book Antiqua" w:hAnsi="Book Antiqua" w:cs="Arial"/>
        </w:rPr>
      </w:pPr>
    </w:p>
    <w:p w:rsidR="008D2723" w:rsidRPr="008240FA" w:rsidRDefault="008D2723" w:rsidP="008D2723">
      <w:pPr>
        <w:tabs>
          <w:tab w:val="left" w:pos="4755"/>
        </w:tabs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Atentamente,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8D2723" w:rsidRPr="008240FA" w:rsidRDefault="008D2723" w:rsidP="008D2723">
      <w:pPr>
        <w:ind w:firstLine="720"/>
        <w:jc w:val="right"/>
        <w:rPr>
          <w:rFonts w:ascii="Book Antiqua" w:hAnsi="Book Antiqua" w:cs="Arial"/>
        </w:rPr>
      </w:pPr>
      <w:r w:rsidRPr="008240FA">
        <w:rPr>
          <w:rFonts w:ascii="Book Antiqua" w:hAnsi="Book Antiqua" w:cs="Arial"/>
        </w:rPr>
        <w:t xml:space="preserve">                                                           </w:t>
      </w:r>
      <w:r w:rsidRPr="008240FA">
        <w:rPr>
          <w:rFonts w:ascii="Book Antiqua" w:hAnsi="Book Antiqua" w:cs="Arial"/>
        </w:rPr>
        <w:tab/>
      </w:r>
      <w:r w:rsidRPr="008240FA">
        <w:rPr>
          <w:rFonts w:ascii="Book Antiqua" w:hAnsi="Book Antiqua" w:cs="Arial"/>
        </w:rPr>
        <w:tab/>
      </w:r>
    </w:p>
    <w:p w:rsidR="008D2723" w:rsidRPr="008240FA" w:rsidRDefault="008D2723" w:rsidP="008D2723">
      <w:pPr>
        <w:ind w:firstLine="720"/>
        <w:jc w:val="right"/>
        <w:rPr>
          <w:noProof/>
          <w:lang w:eastAsia="es-GT"/>
        </w:rPr>
      </w:pPr>
    </w:p>
    <w:p w:rsidR="008D2723" w:rsidRPr="008240FA" w:rsidRDefault="008D2723" w:rsidP="008D2723">
      <w:pPr>
        <w:ind w:firstLine="720"/>
        <w:jc w:val="right"/>
        <w:rPr>
          <w:rFonts w:ascii="Book Antiqua" w:hAnsi="Book Antiqua" w:cs="Arial"/>
        </w:rPr>
      </w:pPr>
    </w:p>
    <w:p w:rsidR="008D2723" w:rsidRPr="008240FA" w:rsidRDefault="008D2723" w:rsidP="008D2723">
      <w:pPr>
        <w:ind w:left="2820" w:firstLine="720"/>
        <w:jc w:val="right"/>
        <w:rPr>
          <w:rFonts w:ascii="Book Antiqua" w:hAnsi="Book Antiqua" w:cs="Arial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</w:rPr>
      </w:pPr>
    </w:p>
    <w:p w:rsidR="008D2723" w:rsidRPr="008240FA" w:rsidRDefault="008D2723" w:rsidP="008D2723">
      <w:pPr>
        <w:rPr>
          <w:rFonts w:ascii="Book Antiqua" w:hAnsi="Book Antiqua"/>
          <w:sz w:val="16"/>
          <w:szCs w:val="16"/>
        </w:rPr>
      </w:pPr>
      <w:r w:rsidRPr="008240FA">
        <w:rPr>
          <w:rFonts w:ascii="Book Antiqua" w:hAnsi="Book Antiqua"/>
          <w:sz w:val="16"/>
          <w:szCs w:val="16"/>
        </w:rPr>
        <w:t>Departamento de Compras y Adquisiciones</w:t>
      </w:r>
    </w:p>
    <w:p w:rsidR="008D2723" w:rsidRDefault="008D2723" w:rsidP="008D2723">
      <w:pPr>
        <w:rPr>
          <w:rFonts w:ascii="Book Antiqua" w:hAnsi="Book Antiqua"/>
          <w:sz w:val="16"/>
          <w:szCs w:val="16"/>
        </w:rPr>
      </w:pPr>
      <w:r w:rsidRPr="008240FA">
        <w:rPr>
          <w:rFonts w:ascii="Book Antiqua" w:hAnsi="Book Antiqua"/>
          <w:sz w:val="16"/>
          <w:szCs w:val="16"/>
        </w:rPr>
        <w:t>C.C.: Archivo</w:t>
      </w:r>
    </w:p>
    <w:p w:rsidR="008D2723" w:rsidRPr="00B9738C" w:rsidRDefault="008D2723" w:rsidP="008D2723">
      <w:pPr>
        <w:rPr>
          <w:rFonts w:ascii="Book Antiqua" w:hAnsi="Book Antiqua"/>
          <w:sz w:val="16"/>
          <w:szCs w:val="16"/>
        </w:rPr>
      </w:pPr>
      <w:r w:rsidRPr="00BB4BAC">
        <w:rPr>
          <w:rFonts w:ascii="Book Antiqua" w:hAnsi="Book Antiqua"/>
          <w:b/>
          <w:i/>
          <w:sz w:val="16"/>
          <w:szCs w:val="16"/>
        </w:rPr>
        <w:t>Anexo:</w:t>
      </w:r>
      <w:r w:rsidR="00FC0EAE">
        <w:rPr>
          <w:rFonts w:ascii="Book Antiqua" w:hAnsi="Book Antiqua"/>
          <w:b/>
          <w:i/>
          <w:sz w:val="16"/>
          <w:szCs w:val="16"/>
        </w:rPr>
        <w:t xml:space="preserve"> </w:t>
      </w:r>
      <w:proofErr w:type="gramStart"/>
      <w:r w:rsidR="00A36422">
        <w:rPr>
          <w:rFonts w:ascii="Book Antiqua" w:hAnsi="Book Antiqua"/>
          <w:b/>
          <w:i/>
          <w:sz w:val="16"/>
          <w:szCs w:val="16"/>
        </w:rPr>
        <w:t>45</w:t>
      </w:r>
      <w:r w:rsidR="004E478D">
        <w:rPr>
          <w:rFonts w:ascii="Book Antiqua" w:hAnsi="Book Antiqua"/>
          <w:b/>
          <w:i/>
          <w:sz w:val="16"/>
          <w:szCs w:val="16"/>
        </w:rPr>
        <w:t xml:space="preserve"> </w:t>
      </w:r>
      <w:bookmarkStart w:id="0" w:name="_GoBack"/>
      <w:bookmarkEnd w:id="0"/>
      <w:r w:rsidR="00FC0EAE">
        <w:rPr>
          <w:rFonts w:ascii="Book Antiqua" w:hAnsi="Book Antiqua"/>
          <w:b/>
          <w:i/>
          <w:sz w:val="16"/>
          <w:szCs w:val="16"/>
        </w:rPr>
        <w:t xml:space="preserve"> folios</w:t>
      </w:r>
      <w:proofErr w:type="gramEnd"/>
    </w:p>
    <w:p w:rsidR="00783B9A" w:rsidRDefault="00783B9A"/>
    <w:sectPr w:rsidR="00783B9A" w:rsidSect="004214E1">
      <w:headerReference w:type="default" r:id="rId7"/>
      <w:footerReference w:type="default" r:id="rId8"/>
      <w:pgSz w:w="12240" w:h="15840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21B0" w:rsidRDefault="00D021B0">
      <w:r>
        <w:separator/>
      </w:r>
    </w:p>
  </w:endnote>
  <w:endnote w:type="continuationSeparator" w:id="0">
    <w:p w:rsidR="00D021B0" w:rsidRDefault="00D02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Pr="00E92692" w:rsidRDefault="002307D4" w:rsidP="00E92692">
    <w:pPr>
      <w:pStyle w:val="Piedepgina"/>
      <w:jc w:val="center"/>
      <w:rPr>
        <w:rFonts w:ascii="Helvetica" w:hAnsi="Helvetica"/>
        <w:color w:val="132034"/>
      </w:rPr>
    </w:pPr>
    <w:r w:rsidRPr="00E92692">
      <w:rPr>
        <w:rFonts w:ascii="Helvetica" w:hAnsi="Helvetica"/>
        <w:color w:val="132034"/>
      </w:rPr>
      <w:t>4a calle 7-37, zona 1 Guatemala – PBX: 2207-9400</w:t>
    </w:r>
  </w:p>
  <w:p w:rsidR="00E92692" w:rsidRPr="00E92692" w:rsidRDefault="002307D4" w:rsidP="00E92692">
    <w:pPr>
      <w:pStyle w:val="Piedepgina"/>
      <w:jc w:val="center"/>
      <w:rPr>
        <w:rFonts w:ascii="Helvetica" w:hAnsi="Helvetica"/>
        <w:b/>
        <w:bCs/>
        <w:color w:val="132034"/>
      </w:rPr>
    </w:pPr>
    <w:r w:rsidRPr="00E92692">
      <w:rPr>
        <w:rFonts w:ascii="Helvetica" w:hAnsi="Helvetica"/>
        <w:b/>
        <w:bCs/>
        <w:color w:val="132034"/>
      </w:rPr>
      <w:t>www.seprem.gob.gt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21B0" w:rsidRDefault="00D021B0">
      <w:r>
        <w:separator/>
      </w:r>
    </w:p>
  </w:footnote>
  <w:footnote w:type="continuationSeparator" w:id="0">
    <w:p w:rsidR="00D021B0" w:rsidRDefault="00D021B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7EBB" w:rsidRDefault="002307D4">
    <w:pPr>
      <w:pStyle w:val="Encabezado"/>
    </w:pPr>
    <w:r w:rsidRPr="00E92692">
      <w:rPr>
        <w:noProof/>
        <w:lang w:eastAsia="es-GT"/>
      </w:rPr>
      <w:drawing>
        <wp:anchor distT="0" distB="0" distL="114300" distR="114300" simplePos="0" relativeHeight="251660288" behindDoc="1" locked="0" layoutInCell="1" allowOverlap="1" wp14:anchorId="2075E183" wp14:editId="6559197B">
          <wp:simplePos x="0" y="0"/>
          <wp:positionH relativeFrom="column">
            <wp:posOffset>1891665</wp:posOffset>
          </wp:positionH>
          <wp:positionV relativeFrom="paragraph">
            <wp:posOffset>-4445</wp:posOffset>
          </wp:positionV>
          <wp:extent cx="1828800" cy="4217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3333" cy="4550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37EBB">
      <w:rPr>
        <w:noProof/>
        <w:lang w:eastAsia="es-GT"/>
      </w:rPr>
      <w:drawing>
        <wp:anchor distT="0" distB="0" distL="114300" distR="114300" simplePos="0" relativeHeight="251659264" behindDoc="1" locked="0" layoutInCell="1" allowOverlap="1" wp14:anchorId="26337B0C" wp14:editId="20043C66">
          <wp:simplePos x="0" y="0"/>
          <wp:positionH relativeFrom="column">
            <wp:posOffset>126632</wp:posOffset>
          </wp:positionH>
          <wp:positionV relativeFrom="paragraph">
            <wp:posOffset>4097020</wp:posOffset>
          </wp:positionV>
          <wp:extent cx="6564363" cy="5515610"/>
          <wp:effectExtent l="0" t="0" r="1905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1879" cy="55303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8A68FE"/>
    <w:multiLevelType w:val="hybridMultilevel"/>
    <w:tmpl w:val="D60C0E92"/>
    <w:lvl w:ilvl="0" w:tplc="5DCE359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2723"/>
    <w:rsid w:val="002307D4"/>
    <w:rsid w:val="004E478D"/>
    <w:rsid w:val="006A5DFB"/>
    <w:rsid w:val="00783B9A"/>
    <w:rsid w:val="00876C2B"/>
    <w:rsid w:val="008D2723"/>
    <w:rsid w:val="00A36422"/>
    <w:rsid w:val="00A37261"/>
    <w:rsid w:val="00CB2839"/>
    <w:rsid w:val="00D021B0"/>
    <w:rsid w:val="00E62F7C"/>
    <w:rsid w:val="00FC0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318B8"/>
  <w15:chartTrackingRefBased/>
  <w15:docId w15:val="{D9EF5DC8-F65C-4850-B279-138A7A5B48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D2723"/>
    <w:pPr>
      <w:spacing w:after="0" w:line="240" w:lineRule="auto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D272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D2723"/>
    <w:rPr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8D272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D2723"/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8D2723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Sinespaciado">
    <w:name w:val="No Spacing"/>
    <w:uiPriority w:val="1"/>
    <w:qFormat/>
    <w:rsid w:val="008D272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573</Words>
  <Characters>3153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Hortencia Margarita Diaz Alvarez</dc:creator>
  <cp:keywords/>
  <dc:description/>
  <cp:lastModifiedBy>Hortencia Margarita Diaz Alvarez</cp:lastModifiedBy>
  <cp:revision>2</cp:revision>
  <cp:lastPrinted>2021-02-03T17:51:00Z</cp:lastPrinted>
  <dcterms:created xsi:type="dcterms:W3CDTF">2021-02-03T20:31:00Z</dcterms:created>
  <dcterms:modified xsi:type="dcterms:W3CDTF">2021-02-03T20:31:00Z</dcterms:modified>
</cp:coreProperties>
</file>