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2F1B4" w14:textId="77777777" w:rsidR="006D6E53" w:rsidRPr="006D6E53" w:rsidRDefault="006D6E53" w:rsidP="006D6E53">
      <w:pPr>
        <w:tabs>
          <w:tab w:val="left" w:pos="2670"/>
          <w:tab w:val="center" w:pos="4419"/>
        </w:tabs>
        <w:contextualSpacing/>
        <w:rPr>
          <w:rFonts w:ascii="Book Antiqua" w:hAnsi="Book Antiqua" w:cs="Calibri"/>
          <w:b/>
          <w:sz w:val="24"/>
          <w:szCs w:val="24"/>
        </w:rPr>
      </w:pPr>
    </w:p>
    <w:p w14:paraId="01DF4542" w14:textId="77777777" w:rsidR="006D6E53" w:rsidRPr="006D6E53" w:rsidRDefault="006D6E53" w:rsidP="006D6E53">
      <w:pPr>
        <w:tabs>
          <w:tab w:val="left" w:pos="2670"/>
          <w:tab w:val="center" w:pos="4419"/>
        </w:tabs>
        <w:contextualSpacing/>
        <w:jc w:val="center"/>
        <w:rPr>
          <w:rFonts w:ascii="Book Antiqua" w:hAnsi="Book Antiqua" w:cs="Calibri"/>
          <w:b/>
          <w:sz w:val="24"/>
          <w:szCs w:val="24"/>
        </w:rPr>
      </w:pPr>
    </w:p>
    <w:p w14:paraId="6D70B7A9" w14:textId="541B9173" w:rsidR="006D6E53" w:rsidRPr="006D6E53" w:rsidRDefault="006D6E53" w:rsidP="006D6E53">
      <w:pPr>
        <w:pStyle w:val="Sinespaciado"/>
        <w:jc w:val="right"/>
        <w:rPr>
          <w:rFonts w:ascii="Book Antiqua" w:hAnsi="Book Antiqua"/>
          <w:b/>
          <w:bCs/>
          <w:sz w:val="24"/>
          <w:szCs w:val="24"/>
        </w:rPr>
      </w:pPr>
      <w:r w:rsidRPr="006D6E53">
        <w:rPr>
          <w:rFonts w:ascii="Book Antiqua" w:hAnsi="Book Antiqua"/>
          <w:b/>
          <w:bCs/>
          <w:sz w:val="24"/>
          <w:szCs w:val="24"/>
        </w:rPr>
        <w:t>Ref. Oficio SEPREM–DA-</w:t>
      </w:r>
      <w:r w:rsidR="000A1B10">
        <w:rPr>
          <w:rFonts w:ascii="Book Antiqua" w:hAnsi="Book Antiqua"/>
          <w:b/>
          <w:bCs/>
          <w:sz w:val="24"/>
          <w:szCs w:val="24"/>
        </w:rPr>
        <w:t>0</w:t>
      </w:r>
      <w:r w:rsidR="009908B7">
        <w:rPr>
          <w:rFonts w:ascii="Book Antiqua" w:hAnsi="Book Antiqua"/>
          <w:b/>
          <w:bCs/>
          <w:sz w:val="24"/>
          <w:szCs w:val="24"/>
        </w:rPr>
        <w:t>86</w:t>
      </w:r>
      <w:r w:rsidRPr="006D6E53">
        <w:rPr>
          <w:rFonts w:ascii="Book Antiqua" w:hAnsi="Book Antiqua"/>
          <w:b/>
          <w:bCs/>
          <w:sz w:val="24"/>
          <w:szCs w:val="24"/>
        </w:rPr>
        <w:t>-2021</w:t>
      </w:r>
    </w:p>
    <w:p w14:paraId="1842C190" w14:textId="5D630F1F" w:rsidR="006D6E53" w:rsidRPr="006D6E53" w:rsidRDefault="006D6E53" w:rsidP="006D6E53">
      <w:pPr>
        <w:pStyle w:val="Sinespaciado"/>
        <w:jc w:val="right"/>
        <w:rPr>
          <w:rFonts w:ascii="Book Antiqua" w:hAnsi="Book Antiqua"/>
          <w:sz w:val="24"/>
          <w:szCs w:val="24"/>
        </w:rPr>
      </w:pPr>
      <w:r w:rsidRPr="006D6E53">
        <w:rPr>
          <w:rFonts w:ascii="Book Antiqua" w:hAnsi="Book Antiqua"/>
          <w:sz w:val="24"/>
          <w:szCs w:val="24"/>
        </w:rPr>
        <w:t>Guatemala, 0</w:t>
      </w:r>
      <w:r w:rsidR="009908B7">
        <w:rPr>
          <w:rFonts w:ascii="Book Antiqua" w:hAnsi="Book Antiqua"/>
          <w:sz w:val="24"/>
          <w:szCs w:val="24"/>
        </w:rPr>
        <w:t>5</w:t>
      </w:r>
      <w:r w:rsidRPr="006D6E53">
        <w:rPr>
          <w:rFonts w:ascii="Book Antiqua" w:hAnsi="Book Antiqua"/>
          <w:sz w:val="24"/>
          <w:szCs w:val="24"/>
        </w:rPr>
        <w:t xml:space="preserve"> de </w:t>
      </w:r>
      <w:r w:rsidR="000A1B10">
        <w:rPr>
          <w:rFonts w:ascii="Book Antiqua" w:hAnsi="Book Antiqua"/>
          <w:sz w:val="24"/>
          <w:szCs w:val="24"/>
        </w:rPr>
        <w:t>ju</w:t>
      </w:r>
      <w:r w:rsidR="009908B7">
        <w:rPr>
          <w:rFonts w:ascii="Book Antiqua" w:hAnsi="Book Antiqua"/>
          <w:sz w:val="24"/>
          <w:szCs w:val="24"/>
        </w:rPr>
        <w:t>l</w:t>
      </w:r>
      <w:r w:rsidR="000A1B10">
        <w:rPr>
          <w:rFonts w:ascii="Book Antiqua" w:hAnsi="Book Antiqua"/>
          <w:sz w:val="24"/>
          <w:szCs w:val="24"/>
        </w:rPr>
        <w:t>io</w:t>
      </w:r>
      <w:r w:rsidRPr="006D6E53">
        <w:rPr>
          <w:rFonts w:ascii="Book Antiqua" w:hAnsi="Book Antiqua"/>
          <w:sz w:val="24"/>
          <w:szCs w:val="24"/>
        </w:rPr>
        <w:t xml:space="preserve"> de 2021</w:t>
      </w:r>
    </w:p>
    <w:p w14:paraId="540882C2" w14:textId="77777777" w:rsidR="006D6E53" w:rsidRPr="006D6E53" w:rsidRDefault="006D6E53" w:rsidP="006D6E53">
      <w:pPr>
        <w:jc w:val="both"/>
        <w:rPr>
          <w:rFonts w:ascii="Book Antiqua" w:hAnsi="Book Antiqua"/>
          <w:b/>
          <w:sz w:val="24"/>
          <w:szCs w:val="24"/>
        </w:rPr>
      </w:pPr>
    </w:p>
    <w:p w14:paraId="658D3753" w14:textId="77777777" w:rsidR="006D6E53" w:rsidRPr="006D6E53" w:rsidRDefault="006D6E53" w:rsidP="006D6E53">
      <w:pPr>
        <w:jc w:val="both"/>
        <w:rPr>
          <w:rFonts w:ascii="Book Antiqua" w:hAnsi="Book Antiqua"/>
          <w:b/>
          <w:sz w:val="24"/>
          <w:szCs w:val="24"/>
        </w:rPr>
      </w:pPr>
    </w:p>
    <w:p w14:paraId="759045BD" w14:textId="77777777" w:rsidR="006D6E53" w:rsidRPr="006D6E53" w:rsidRDefault="006D6E53" w:rsidP="006D6E53">
      <w:pPr>
        <w:pStyle w:val="Sinespaciado"/>
        <w:rPr>
          <w:rFonts w:ascii="Book Antiqua" w:hAnsi="Book Antiqua"/>
          <w:b/>
          <w:bCs/>
          <w:sz w:val="24"/>
          <w:szCs w:val="24"/>
        </w:rPr>
      </w:pPr>
      <w:r w:rsidRPr="006D6E53">
        <w:rPr>
          <w:rFonts w:ascii="Book Antiqua" w:hAnsi="Book Antiqua"/>
          <w:b/>
          <w:bCs/>
          <w:sz w:val="24"/>
          <w:szCs w:val="24"/>
        </w:rPr>
        <w:t>Señora</w:t>
      </w:r>
    </w:p>
    <w:p w14:paraId="3AD054A7" w14:textId="77777777" w:rsidR="006D6E53" w:rsidRPr="006D6E53" w:rsidRDefault="006D6E53" w:rsidP="006D6E53">
      <w:pPr>
        <w:pStyle w:val="Sinespaciado"/>
        <w:rPr>
          <w:rFonts w:ascii="Book Antiqua" w:hAnsi="Book Antiqua" w:cs="Arial"/>
          <w:b/>
          <w:bCs/>
          <w:sz w:val="24"/>
          <w:szCs w:val="24"/>
        </w:rPr>
      </w:pPr>
      <w:r w:rsidRPr="006D6E53">
        <w:rPr>
          <w:rFonts w:ascii="Book Antiqua" w:hAnsi="Book Antiqua" w:cs="Arial"/>
          <w:b/>
          <w:bCs/>
          <w:sz w:val="24"/>
          <w:szCs w:val="24"/>
        </w:rPr>
        <w:t>Sandra Méndez</w:t>
      </w:r>
    </w:p>
    <w:p w14:paraId="654C6135" w14:textId="77777777" w:rsidR="006D6E53" w:rsidRPr="006D6E53" w:rsidRDefault="006D6E53" w:rsidP="006D6E53">
      <w:pPr>
        <w:pStyle w:val="Sinespaciado"/>
        <w:rPr>
          <w:rFonts w:ascii="Book Antiqua" w:hAnsi="Book Antiqua" w:cs="Arial"/>
          <w:b/>
          <w:bCs/>
          <w:sz w:val="24"/>
          <w:szCs w:val="24"/>
        </w:rPr>
      </w:pPr>
      <w:r w:rsidRPr="006D6E53">
        <w:rPr>
          <w:rFonts w:ascii="Book Antiqua" w:hAnsi="Book Antiqua" w:cs="Arial"/>
          <w:b/>
          <w:bCs/>
          <w:sz w:val="24"/>
          <w:szCs w:val="24"/>
        </w:rPr>
        <w:t>Suplente de la Unidad Información Pública</w:t>
      </w:r>
    </w:p>
    <w:p w14:paraId="3E3A2697" w14:textId="77777777" w:rsidR="006D6E53" w:rsidRPr="006D6E53" w:rsidRDefault="006D6E53" w:rsidP="006D6E53">
      <w:pPr>
        <w:jc w:val="both"/>
        <w:rPr>
          <w:rFonts w:ascii="Book Antiqua" w:hAnsi="Book Antiqua" w:cs="Arial"/>
          <w:sz w:val="24"/>
          <w:szCs w:val="24"/>
        </w:rPr>
      </w:pPr>
    </w:p>
    <w:p w14:paraId="57E73DC1" w14:textId="0B8B223A" w:rsidR="006D6E53" w:rsidRPr="006D6E53" w:rsidRDefault="006D6E53" w:rsidP="006D6E53">
      <w:pPr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En cumplimiento a la Ley del acceso a la Información Pública Decreto 57-2008, se adjunta física y electrónica la información de ejecución con base en el artículo 10 de la Ley en mención, correspondiente al mes de </w:t>
      </w:r>
      <w:r w:rsidR="009908B7">
        <w:rPr>
          <w:rFonts w:ascii="Book Antiqua" w:hAnsi="Book Antiqua" w:cs="Arial"/>
          <w:sz w:val="24"/>
          <w:szCs w:val="24"/>
        </w:rPr>
        <w:t>Junio</w:t>
      </w:r>
      <w:r w:rsidRPr="006D6E53">
        <w:rPr>
          <w:rFonts w:ascii="Book Antiqua" w:hAnsi="Book Antiqua" w:cs="Arial"/>
          <w:sz w:val="24"/>
          <w:szCs w:val="24"/>
        </w:rPr>
        <w:t xml:space="preserve"> 2021 de la Dirección Administrativa, específicamente los numerales que se citan a continuación.</w:t>
      </w:r>
    </w:p>
    <w:p w14:paraId="5D38F937" w14:textId="5A2DB7D1" w:rsidR="006D6E53" w:rsidRDefault="006D6E53" w:rsidP="006D6E53">
      <w:pPr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Asimismo, lo que establece el Artículo 17 TER Literal d) del Decreto No. 101-97 e Informe Mensual que corresponde a las Medidas de Eficiencia y Calidad del Gasto del mes de </w:t>
      </w:r>
      <w:r w:rsidR="009908B7">
        <w:rPr>
          <w:rFonts w:ascii="Book Antiqua" w:hAnsi="Book Antiqua" w:cs="Arial"/>
          <w:sz w:val="24"/>
          <w:szCs w:val="24"/>
        </w:rPr>
        <w:t>Junio</w:t>
      </w:r>
      <w:r w:rsidRPr="006D6E53">
        <w:rPr>
          <w:rFonts w:ascii="Book Antiqua" w:hAnsi="Book Antiqua" w:cs="Arial"/>
          <w:sz w:val="24"/>
          <w:szCs w:val="24"/>
        </w:rPr>
        <w:t xml:space="preserve"> 2021.</w:t>
      </w:r>
    </w:p>
    <w:p w14:paraId="6DBDA698" w14:textId="77777777" w:rsidR="006D6E53" w:rsidRPr="006D6E53" w:rsidRDefault="006D6E53" w:rsidP="006D6E53">
      <w:pPr>
        <w:jc w:val="both"/>
        <w:rPr>
          <w:rFonts w:ascii="Book Antiqua" w:hAnsi="Book Antiqua" w:cs="Arial"/>
          <w:sz w:val="24"/>
          <w:szCs w:val="24"/>
        </w:rPr>
      </w:pPr>
      <w:bookmarkStart w:id="0" w:name="_GoBack"/>
      <w:bookmarkEnd w:id="0"/>
    </w:p>
    <w:p w14:paraId="1FACF97A" w14:textId="77777777" w:rsidR="006D6E53" w:rsidRPr="00B673DC" w:rsidRDefault="006D6E53" w:rsidP="006D6E53">
      <w:pPr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B673DC">
        <w:rPr>
          <w:rFonts w:ascii="Book Antiqua" w:hAnsi="Book Antiqua" w:cs="Arial"/>
          <w:b/>
          <w:sz w:val="24"/>
          <w:szCs w:val="24"/>
          <w:u w:val="single"/>
        </w:rPr>
        <w:t>Artículo 10, Decreto 57-2008</w:t>
      </w:r>
    </w:p>
    <w:p w14:paraId="49EB724B" w14:textId="77777777" w:rsidR="006D6E53" w:rsidRPr="00B673DC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>Numeral 2.  Dirección y teléfonos de la entidad y todas las dependencias que la conforman, folio 1.</w:t>
      </w:r>
    </w:p>
    <w:p w14:paraId="688C9131" w14:textId="77777777" w:rsidR="006D6E53" w:rsidRPr="00B673DC" w:rsidRDefault="006D6E53" w:rsidP="006D6E53">
      <w:pPr>
        <w:pStyle w:val="Prrafodelista"/>
        <w:tabs>
          <w:tab w:val="left" w:pos="6840"/>
        </w:tabs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ab/>
      </w:r>
    </w:p>
    <w:p w14:paraId="73AAFEDB" w14:textId="77777777" w:rsidR="006D6E53" w:rsidRPr="00B673DC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>Numeral 2. Dirección y teléfonos de las oficinas departamentales, folios 2.</w:t>
      </w:r>
    </w:p>
    <w:p w14:paraId="020013A5" w14:textId="77777777" w:rsidR="006D6E53" w:rsidRPr="00B673DC" w:rsidRDefault="006D6E53" w:rsidP="006D6E53">
      <w:pPr>
        <w:pStyle w:val="Prrafodelista"/>
        <w:tabs>
          <w:tab w:val="left" w:pos="6135"/>
        </w:tabs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ab/>
      </w:r>
    </w:p>
    <w:p w14:paraId="57FE4CA0" w14:textId="77777777" w:rsidR="006D6E53" w:rsidRPr="00B673DC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>Numeral 11. Contrataciones de bienes y servicios, Servicios Subgrupo 18 que son utilizados por los sujetos obligados, folio 3.</w:t>
      </w:r>
    </w:p>
    <w:p w14:paraId="51CE6BFF" w14:textId="77777777" w:rsidR="006D6E53" w:rsidRPr="00B673DC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7711E642" w14:textId="659367B0" w:rsidR="006D6E53" w:rsidRPr="00B673DC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 xml:space="preserve">Numeral 11 Información de procesos contrataciones: 1) Compras Directas con Oferta Electrónica; 2) Arrendamiento de Bienes Inmuebles; 3) Compra de Baja Cuantía; 4) Procedimientos Regulados (Casos de Excepción) 5) No Aplica a la Ley de Contrataciones; Adquisición Directa por Ausencia de Oferta (Art. 32 LCE) folio 4 al </w:t>
      </w:r>
      <w:r w:rsidR="009908B7" w:rsidRPr="00B673DC">
        <w:rPr>
          <w:rFonts w:ascii="Book Antiqua" w:hAnsi="Book Antiqua" w:cs="Arial"/>
          <w:sz w:val="24"/>
          <w:szCs w:val="24"/>
        </w:rPr>
        <w:t>33</w:t>
      </w:r>
      <w:r w:rsidRPr="00B673DC">
        <w:rPr>
          <w:rFonts w:ascii="Book Antiqua" w:hAnsi="Book Antiqua" w:cs="Arial"/>
          <w:sz w:val="24"/>
          <w:szCs w:val="24"/>
        </w:rPr>
        <w:t>.</w:t>
      </w:r>
    </w:p>
    <w:p w14:paraId="04BB5CE7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22E7C530" w14:textId="1F5CF2E2" w:rsidR="006D6E53" w:rsidRP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Numeral 14. En el presente mes no se suscribieron Contratos de Mantenimientos, folio </w:t>
      </w:r>
      <w:r w:rsidR="009908B7">
        <w:rPr>
          <w:rFonts w:ascii="Book Antiqua" w:hAnsi="Book Antiqua" w:cs="Arial"/>
          <w:sz w:val="24"/>
          <w:szCs w:val="24"/>
        </w:rPr>
        <w:t>34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30848FEA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6891D6CD" w14:textId="7C77A0DA" w:rsid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Numeral 19. Contratos de arrendamientos de inmuebles, equipo, maquinaria o cualquier otro bien o servicio, folio </w:t>
      </w:r>
      <w:r w:rsidR="009908B7">
        <w:rPr>
          <w:rFonts w:ascii="Book Antiqua" w:hAnsi="Book Antiqua" w:cs="Arial"/>
          <w:sz w:val="24"/>
          <w:szCs w:val="24"/>
        </w:rPr>
        <w:t>35</w:t>
      </w:r>
      <w:r w:rsidRPr="006D6E53">
        <w:rPr>
          <w:rFonts w:ascii="Book Antiqua" w:hAnsi="Book Antiqua" w:cs="Arial"/>
          <w:sz w:val="24"/>
          <w:szCs w:val="24"/>
        </w:rPr>
        <w:t xml:space="preserve"> al </w:t>
      </w:r>
      <w:r w:rsidR="009908B7">
        <w:rPr>
          <w:rFonts w:ascii="Book Antiqua" w:hAnsi="Book Antiqua" w:cs="Arial"/>
          <w:sz w:val="24"/>
          <w:szCs w:val="24"/>
        </w:rPr>
        <w:t>54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3DEA6BA9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65310F87" w14:textId="77777777" w:rsidR="006D6E53" w:rsidRDefault="006D6E53" w:rsidP="006D6E53">
      <w:pPr>
        <w:pStyle w:val="Prrafodelista"/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</w:p>
    <w:p w14:paraId="262DA5C8" w14:textId="77777777" w:rsidR="00A649DE" w:rsidRDefault="00A649DE" w:rsidP="006D6E53">
      <w:pPr>
        <w:pStyle w:val="Prrafodelista"/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</w:p>
    <w:p w14:paraId="403DA72C" w14:textId="77777777" w:rsidR="00A649DE" w:rsidRPr="006D6E53" w:rsidRDefault="00A649DE" w:rsidP="006D6E53">
      <w:pPr>
        <w:pStyle w:val="Prrafodelista"/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</w:p>
    <w:p w14:paraId="184321B2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627073EB" w14:textId="05D51DA2" w:rsidR="006D6E53" w:rsidRP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Numeral 20.  Contrataciones a través de procesos de cotización y licitación y sus contratos respectivos, procesos de cotización, folio </w:t>
      </w:r>
      <w:r w:rsidR="009908B7">
        <w:rPr>
          <w:rFonts w:ascii="Book Antiqua" w:hAnsi="Book Antiqua" w:cs="Arial"/>
          <w:sz w:val="24"/>
          <w:szCs w:val="24"/>
        </w:rPr>
        <w:t>55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0F1BD870" w14:textId="77777777" w:rsidR="006D6E53" w:rsidRPr="006D6E53" w:rsidRDefault="006D6E53" w:rsidP="006D6E53">
      <w:pPr>
        <w:pStyle w:val="Prrafodelista"/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</w:p>
    <w:p w14:paraId="3A4B00E7" w14:textId="77BA0A4E" w:rsidR="006D6E53" w:rsidRP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Numeral 22.  Compras Directas (Compras Directas pagados por cheque y por acreditamiento), folio </w:t>
      </w:r>
      <w:r w:rsidR="009908B7">
        <w:rPr>
          <w:rFonts w:ascii="Book Antiqua" w:hAnsi="Book Antiqua" w:cs="Arial"/>
          <w:sz w:val="24"/>
          <w:szCs w:val="24"/>
        </w:rPr>
        <w:t>56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6A6E6AF1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29099544" w14:textId="77777777" w:rsidR="006D6E53" w:rsidRPr="006D6E53" w:rsidRDefault="006D6E53" w:rsidP="006D6E53">
      <w:pPr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6D6E53">
        <w:rPr>
          <w:rFonts w:ascii="Book Antiqua" w:hAnsi="Book Antiqua" w:cs="Arial"/>
          <w:b/>
          <w:sz w:val="24"/>
          <w:szCs w:val="24"/>
          <w:u w:val="single"/>
        </w:rPr>
        <w:t>Artículo 17 TER literal d) Decreto 101-97</w:t>
      </w:r>
    </w:p>
    <w:p w14:paraId="6FB012E3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50D18FB7" w14:textId="5972D5BA" w:rsidR="006D6E53" w:rsidRP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Programación de arrendamientos de Edificios del folio </w:t>
      </w:r>
      <w:r w:rsidR="009908B7">
        <w:rPr>
          <w:rFonts w:ascii="Book Antiqua" w:hAnsi="Book Antiqua" w:cs="Arial"/>
          <w:sz w:val="24"/>
          <w:szCs w:val="24"/>
        </w:rPr>
        <w:t>57</w:t>
      </w:r>
      <w:r w:rsidR="00E826C5">
        <w:rPr>
          <w:rFonts w:ascii="Book Antiqua" w:hAnsi="Book Antiqua" w:cs="Arial"/>
          <w:sz w:val="24"/>
          <w:szCs w:val="24"/>
        </w:rPr>
        <w:t xml:space="preserve"> al </w:t>
      </w:r>
      <w:r w:rsidR="00452EE2">
        <w:rPr>
          <w:rFonts w:ascii="Book Antiqua" w:hAnsi="Book Antiqua" w:cs="Arial"/>
          <w:sz w:val="24"/>
          <w:szCs w:val="24"/>
        </w:rPr>
        <w:t>70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1283460F" w14:textId="77777777" w:rsidR="006D6E53" w:rsidRPr="006D6E53" w:rsidRDefault="006D6E53" w:rsidP="006D6E53">
      <w:pPr>
        <w:pStyle w:val="Prrafodelista"/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</w:p>
    <w:p w14:paraId="591E69AB" w14:textId="77777777" w:rsidR="006D6E53" w:rsidRPr="006D6E53" w:rsidRDefault="006D6E53" w:rsidP="006D6E53">
      <w:pPr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6D6E53">
        <w:rPr>
          <w:rFonts w:ascii="Book Antiqua" w:hAnsi="Book Antiqua" w:cs="Arial"/>
          <w:b/>
          <w:sz w:val="24"/>
          <w:szCs w:val="24"/>
          <w:u w:val="single"/>
        </w:rPr>
        <w:t>Medidas de Eficiencia y Calidad del Gasto</w:t>
      </w:r>
    </w:p>
    <w:p w14:paraId="7EC8ACAB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73951D5F" w14:textId="28966D06" w:rsidR="006D6E53" w:rsidRP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Informe mensual, folio del </w:t>
      </w:r>
      <w:r w:rsidR="00452EE2">
        <w:rPr>
          <w:rFonts w:ascii="Book Antiqua" w:hAnsi="Book Antiqua" w:cs="Arial"/>
          <w:sz w:val="24"/>
          <w:szCs w:val="24"/>
        </w:rPr>
        <w:t>71</w:t>
      </w:r>
      <w:r w:rsidRPr="006D6E53">
        <w:rPr>
          <w:rFonts w:ascii="Book Antiqua" w:hAnsi="Book Antiqua" w:cs="Arial"/>
          <w:sz w:val="24"/>
          <w:szCs w:val="24"/>
        </w:rPr>
        <w:t xml:space="preserve"> al </w:t>
      </w:r>
      <w:r w:rsidR="00B673DC">
        <w:rPr>
          <w:rFonts w:ascii="Book Antiqua" w:hAnsi="Book Antiqua" w:cs="Arial"/>
          <w:sz w:val="24"/>
          <w:szCs w:val="24"/>
        </w:rPr>
        <w:t>73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3A94AC17" w14:textId="77777777" w:rsidR="006D6E53" w:rsidRPr="006D6E53" w:rsidRDefault="00A649DE" w:rsidP="006D6E53">
      <w:pPr>
        <w:tabs>
          <w:tab w:val="left" w:pos="2565"/>
          <w:tab w:val="left" w:pos="307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</w:t>
      </w:r>
    </w:p>
    <w:p w14:paraId="749ABB74" w14:textId="77777777" w:rsidR="006D6E53" w:rsidRPr="006D6E53" w:rsidRDefault="006D6E53" w:rsidP="006D6E53">
      <w:pPr>
        <w:tabs>
          <w:tab w:val="left" w:pos="2565"/>
          <w:tab w:val="left" w:pos="3075"/>
        </w:tabs>
        <w:jc w:val="both"/>
        <w:rPr>
          <w:rFonts w:ascii="Book Antiqua" w:hAnsi="Book Antiqua" w:cs="Arial"/>
          <w:sz w:val="24"/>
          <w:szCs w:val="24"/>
        </w:rPr>
      </w:pPr>
    </w:p>
    <w:p w14:paraId="6F164DD2" w14:textId="77777777" w:rsidR="006D6E53" w:rsidRPr="006D6E53" w:rsidRDefault="006D6E53" w:rsidP="006D6E53">
      <w:pPr>
        <w:tabs>
          <w:tab w:val="left" w:pos="4755"/>
        </w:tabs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Atentamente,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B454B8" w14:textId="77777777" w:rsidR="006D6E53" w:rsidRPr="006D6E53" w:rsidRDefault="006D6E53" w:rsidP="006D6E53">
      <w:pPr>
        <w:ind w:firstLine="720"/>
        <w:jc w:val="right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                                                           </w:t>
      </w:r>
      <w:r w:rsidRPr="006D6E53">
        <w:rPr>
          <w:rFonts w:ascii="Book Antiqua" w:hAnsi="Book Antiqua" w:cs="Arial"/>
          <w:sz w:val="24"/>
          <w:szCs w:val="24"/>
        </w:rPr>
        <w:tab/>
      </w:r>
      <w:r w:rsidRPr="006D6E53">
        <w:rPr>
          <w:rFonts w:ascii="Book Antiqua" w:hAnsi="Book Antiqua" w:cs="Arial"/>
          <w:sz w:val="24"/>
          <w:szCs w:val="24"/>
        </w:rPr>
        <w:tab/>
      </w:r>
    </w:p>
    <w:p w14:paraId="3222F22F" w14:textId="77777777" w:rsidR="006D6E53" w:rsidRPr="006D6E53" w:rsidRDefault="006D6E53" w:rsidP="006D6E53">
      <w:pPr>
        <w:ind w:firstLine="720"/>
        <w:jc w:val="right"/>
        <w:rPr>
          <w:rFonts w:ascii="Book Antiqua" w:hAnsi="Book Antiqua"/>
          <w:noProof/>
          <w:sz w:val="24"/>
          <w:szCs w:val="24"/>
          <w:lang w:eastAsia="es-GT"/>
        </w:rPr>
      </w:pPr>
    </w:p>
    <w:p w14:paraId="01B1B8AA" w14:textId="77777777" w:rsidR="006D6E53" w:rsidRPr="006D6E53" w:rsidRDefault="006D6E53" w:rsidP="006D6E53">
      <w:pPr>
        <w:ind w:firstLine="720"/>
        <w:jc w:val="right"/>
        <w:rPr>
          <w:rFonts w:ascii="Book Antiqua" w:hAnsi="Book Antiqua" w:cs="Arial"/>
          <w:sz w:val="24"/>
          <w:szCs w:val="24"/>
        </w:rPr>
      </w:pPr>
    </w:p>
    <w:p w14:paraId="1A05FF18" w14:textId="77777777" w:rsidR="006D6E53" w:rsidRPr="006D6E53" w:rsidRDefault="006D6E53" w:rsidP="006D6E53">
      <w:pPr>
        <w:ind w:left="2820" w:firstLine="720"/>
        <w:jc w:val="right"/>
        <w:rPr>
          <w:rFonts w:ascii="Book Antiqua" w:hAnsi="Book Antiqua" w:cs="Arial"/>
          <w:sz w:val="24"/>
          <w:szCs w:val="24"/>
        </w:rPr>
      </w:pPr>
    </w:p>
    <w:p w14:paraId="7317EB13" w14:textId="77777777" w:rsidR="006D6E53" w:rsidRDefault="006D6E53" w:rsidP="006D6E53">
      <w:pPr>
        <w:rPr>
          <w:rFonts w:ascii="Book Antiqua" w:hAnsi="Book Antiqua"/>
          <w:sz w:val="24"/>
          <w:szCs w:val="24"/>
        </w:rPr>
      </w:pPr>
    </w:p>
    <w:p w14:paraId="77A220F3" w14:textId="77777777" w:rsidR="00A649DE" w:rsidRDefault="00A649DE" w:rsidP="006D6E53">
      <w:pPr>
        <w:rPr>
          <w:rFonts w:ascii="Book Antiqua" w:hAnsi="Book Antiqua"/>
          <w:sz w:val="24"/>
          <w:szCs w:val="24"/>
        </w:rPr>
      </w:pPr>
    </w:p>
    <w:p w14:paraId="21D6FD98" w14:textId="77777777" w:rsidR="00A649DE" w:rsidRDefault="00A649DE" w:rsidP="006D6E53">
      <w:pPr>
        <w:rPr>
          <w:rFonts w:ascii="Book Antiqua" w:hAnsi="Book Antiqua"/>
          <w:sz w:val="24"/>
          <w:szCs w:val="24"/>
        </w:rPr>
      </w:pPr>
    </w:p>
    <w:p w14:paraId="4FCB78AC" w14:textId="77777777" w:rsidR="006D6E53" w:rsidRPr="006D6E53" w:rsidRDefault="006D6E53" w:rsidP="006D6E53">
      <w:pPr>
        <w:rPr>
          <w:rFonts w:ascii="Book Antiqua" w:hAnsi="Book Antiqua"/>
          <w:sz w:val="24"/>
          <w:szCs w:val="24"/>
        </w:rPr>
      </w:pPr>
    </w:p>
    <w:p w14:paraId="4BE15120" w14:textId="77777777" w:rsidR="006D6E53" w:rsidRPr="006D6E53" w:rsidRDefault="006D6E53" w:rsidP="006D6E53">
      <w:pPr>
        <w:rPr>
          <w:rFonts w:ascii="Book Antiqua" w:hAnsi="Book Antiqua"/>
          <w:sz w:val="24"/>
          <w:szCs w:val="24"/>
        </w:rPr>
      </w:pPr>
    </w:p>
    <w:p w14:paraId="1DF20F05" w14:textId="77777777" w:rsidR="006D6E53" w:rsidRPr="006D6E53" w:rsidRDefault="006D6E53" w:rsidP="006D6E53">
      <w:pPr>
        <w:rPr>
          <w:rFonts w:ascii="Book Antiqua" w:hAnsi="Book Antiqua"/>
          <w:sz w:val="24"/>
          <w:szCs w:val="24"/>
        </w:rPr>
      </w:pPr>
    </w:p>
    <w:p w14:paraId="6A36F6D9" w14:textId="77777777" w:rsidR="006D6E53" w:rsidRPr="006D6E53" w:rsidRDefault="006D6E53" w:rsidP="006D6E53">
      <w:pPr>
        <w:pStyle w:val="Sinespaciado"/>
        <w:rPr>
          <w:rFonts w:ascii="Book Antiqua" w:hAnsi="Book Antiqua"/>
          <w:sz w:val="16"/>
          <w:szCs w:val="16"/>
        </w:rPr>
      </w:pPr>
      <w:r w:rsidRPr="006D6E53">
        <w:rPr>
          <w:rFonts w:ascii="Book Antiqua" w:hAnsi="Book Antiqua"/>
          <w:sz w:val="16"/>
          <w:szCs w:val="16"/>
        </w:rPr>
        <w:t>Departamento de Compras y Adquisiciones</w:t>
      </w:r>
    </w:p>
    <w:p w14:paraId="59A8E056" w14:textId="77777777" w:rsidR="006D6E53" w:rsidRPr="006D6E53" w:rsidRDefault="006D6E53" w:rsidP="006D6E53">
      <w:pPr>
        <w:pStyle w:val="Sinespaciado"/>
        <w:rPr>
          <w:rFonts w:ascii="Book Antiqua" w:hAnsi="Book Antiqua"/>
          <w:sz w:val="16"/>
          <w:szCs w:val="16"/>
        </w:rPr>
      </w:pPr>
      <w:r w:rsidRPr="006D6E53">
        <w:rPr>
          <w:rFonts w:ascii="Book Antiqua" w:hAnsi="Book Antiqua"/>
          <w:sz w:val="16"/>
          <w:szCs w:val="16"/>
        </w:rPr>
        <w:t>C.C.: Archivo</w:t>
      </w:r>
    </w:p>
    <w:p w14:paraId="3EB32699" w14:textId="1C496364" w:rsidR="006D6E53" w:rsidRPr="006D6E53" w:rsidRDefault="006D6E53" w:rsidP="006D6E53">
      <w:pPr>
        <w:pStyle w:val="Sinespaciado"/>
        <w:rPr>
          <w:rFonts w:ascii="Book Antiqua" w:hAnsi="Book Antiqua" w:cs="Calibri"/>
          <w:b/>
          <w:sz w:val="16"/>
          <w:szCs w:val="16"/>
        </w:rPr>
      </w:pPr>
      <w:r w:rsidRPr="006D6E53">
        <w:rPr>
          <w:rFonts w:ascii="Book Antiqua" w:hAnsi="Book Antiqua"/>
          <w:b/>
          <w:i/>
          <w:sz w:val="16"/>
          <w:szCs w:val="16"/>
        </w:rPr>
        <w:t>Anexo:</w:t>
      </w:r>
      <w:r w:rsidR="00A649DE">
        <w:rPr>
          <w:rFonts w:ascii="Book Antiqua" w:hAnsi="Book Antiqua"/>
          <w:b/>
          <w:i/>
          <w:sz w:val="16"/>
          <w:szCs w:val="16"/>
        </w:rPr>
        <w:t xml:space="preserve"> </w:t>
      </w:r>
      <w:r w:rsidRPr="006D6E53">
        <w:rPr>
          <w:rFonts w:ascii="Book Antiqua" w:hAnsi="Book Antiqua"/>
          <w:b/>
          <w:i/>
          <w:sz w:val="16"/>
          <w:szCs w:val="16"/>
        </w:rPr>
        <w:t xml:space="preserve">  </w:t>
      </w:r>
      <w:r w:rsidR="005A3265">
        <w:rPr>
          <w:rFonts w:ascii="Book Antiqua" w:hAnsi="Book Antiqua"/>
          <w:b/>
          <w:i/>
          <w:sz w:val="16"/>
          <w:szCs w:val="16"/>
        </w:rPr>
        <w:t xml:space="preserve">73 </w:t>
      </w:r>
      <w:r w:rsidRPr="006D6E53">
        <w:rPr>
          <w:rFonts w:ascii="Book Antiqua" w:hAnsi="Book Antiqua"/>
          <w:b/>
          <w:i/>
          <w:sz w:val="16"/>
          <w:szCs w:val="16"/>
        </w:rPr>
        <w:t>folios</w:t>
      </w:r>
    </w:p>
    <w:sectPr w:rsidR="006D6E53" w:rsidRPr="006D6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47A59" w14:textId="77777777" w:rsidR="0044051A" w:rsidRDefault="0044051A">
      <w:pPr>
        <w:spacing w:after="0" w:line="240" w:lineRule="auto"/>
      </w:pPr>
      <w:r>
        <w:separator/>
      </w:r>
    </w:p>
  </w:endnote>
  <w:endnote w:type="continuationSeparator" w:id="0">
    <w:p w14:paraId="63FE6569" w14:textId="77777777" w:rsidR="0044051A" w:rsidRDefault="0044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A8F74" w14:textId="77777777" w:rsidR="008A15CD" w:rsidRDefault="005A3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E4D5F" w14:textId="77777777" w:rsidR="008A15CD" w:rsidRDefault="005A3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C61C" w14:textId="77777777" w:rsidR="008A15CD" w:rsidRDefault="005A3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71C9" w14:textId="77777777" w:rsidR="0044051A" w:rsidRDefault="0044051A">
      <w:pPr>
        <w:spacing w:after="0" w:line="240" w:lineRule="auto"/>
      </w:pPr>
      <w:r>
        <w:separator/>
      </w:r>
    </w:p>
  </w:footnote>
  <w:footnote w:type="continuationSeparator" w:id="0">
    <w:p w14:paraId="2A44373C" w14:textId="77777777" w:rsidR="0044051A" w:rsidRDefault="0044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9704F" w14:textId="77777777" w:rsidR="008A15CD" w:rsidRDefault="005A3265">
    <w:pPr>
      <w:pStyle w:val="Encabezado"/>
    </w:pPr>
    <w:r>
      <w:rPr>
        <w:noProof/>
      </w:rPr>
      <w:pict w14:anchorId="233B0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090439" o:spid="_x0000_s2049" type="#_x0000_t75" style="position:absolute;margin-left:0;margin-top:0;width:673.2pt;height:871.2pt;z-index:-251659776;mso-position-horizontal:center;mso-position-horizontal-relative:margin;mso-position-vertical:center;mso-position-vertical-relative:margin" o:allowincell="f">
          <v:imagedata r:id="rId1" o:title="Hoja Membretada BICENTENARIO CARTA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5DAE" w14:textId="77777777" w:rsidR="008A15CD" w:rsidRDefault="005A3265">
    <w:pPr>
      <w:pStyle w:val="Encabezado"/>
    </w:pPr>
    <w:r>
      <w:rPr>
        <w:noProof/>
      </w:rPr>
      <w:pict w14:anchorId="2A853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090440" o:spid="_x0000_s2050" type="#_x0000_t75" style="position:absolute;margin-left:0;margin-top:0;width:673.2pt;height:871.2pt;z-index:-251658752;mso-position-horizontal:center;mso-position-horizontal-relative:margin;mso-position-vertical:center;mso-position-vertical-relative:margin" o:allowincell="f">
          <v:imagedata r:id="rId1" o:title="Hoja Membretada BICENTENARIO CARTA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A57E" w14:textId="77777777" w:rsidR="008A15CD" w:rsidRDefault="005A3265">
    <w:pPr>
      <w:pStyle w:val="Encabezado"/>
    </w:pPr>
    <w:r>
      <w:rPr>
        <w:noProof/>
      </w:rPr>
      <w:pict w14:anchorId="53C5B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090438" o:spid="_x0000_s2051" type="#_x0000_t75" style="position:absolute;margin-left:0;margin-top:0;width:673.2pt;height:871.2pt;z-index:-251657728;mso-position-horizontal:center;mso-position-horizontal-relative:margin;mso-position-vertical:center;mso-position-vertical-relative:margin" o:allowincell="f">
          <v:imagedata r:id="rId1" o:title="Hoja Membretada BICENTENARIO CARTA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A68FE"/>
    <w:multiLevelType w:val="hybridMultilevel"/>
    <w:tmpl w:val="D60C0E92"/>
    <w:lvl w:ilvl="0" w:tplc="5DCE3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53"/>
    <w:rsid w:val="000A1B10"/>
    <w:rsid w:val="000F3953"/>
    <w:rsid w:val="00161EA7"/>
    <w:rsid w:val="0044051A"/>
    <w:rsid w:val="00452EE2"/>
    <w:rsid w:val="00493E57"/>
    <w:rsid w:val="005A3265"/>
    <w:rsid w:val="006D6E53"/>
    <w:rsid w:val="008B4234"/>
    <w:rsid w:val="009908B7"/>
    <w:rsid w:val="00A649DE"/>
    <w:rsid w:val="00B673DC"/>
    <w:rsid w:val="00C5568A"/>
    <w:rsid w:val="00E8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59E465"/>
  <w15:chartTrackingRefBased/>
  <w15:docId w15:val="{A4AB5642-8226-41DA-8E97-98264B5A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53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6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E5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6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E53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6D6E5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D6E53"/>
    <w:pPr>
      <w:spacing w:after="200" w:line="276" w:lineRule="auto"/>
      <w:ind w:left="720"/>
      <w:contextualSpacing/>
    </w:pPr>
    <w:rPr>
      <w:lang w:val="es-GT"/>
    </w:rPr>
  </w:style>
  <w:style w:type="character" w:customStyle="1" w:styleId="Ttulo1Car">
    <w:name w:val="Título 1 Car"/>
    <w:basedOn w:val="Fuentedeprrafopredeter"/>
    <w:link w:val="Ttulo1"/>
    <w:uiPriority w:val="9"/>
    <w:rsid w:val="006D6E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Hortencia Margarita Diaz Alvarez</dc:creator>
  <cp:keywords/>
  <dc:description/>
  <cp:lastModifiedBy>Alma Griselda Perez Cuc</cp:lastModifiedBy>
  <cp:revision>5</cp:revision>
  <cp:lastPrinted>2021-07-06T14:37:00Z</cp:lastPrinted>
  <dcterms:created xsi:type="dcterms:W3CDTF">2021-06-04T14:03:00Z</dcterms:created>
  <dcterms:modified xsi:type="dcterms:W3CDTF">2021-07-06T14:39:00Z</dcterms:modified>
</cp:coreProperties>
</file>