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C43B" w14:textId="77777777" w:rsidR="00BA4641" w:rsidRDefault="00BA4641" w:rsidP="00BA4641">
      <w:pPr>
        <w:pStyle w:val="Textoindependiente"/>
        <w:rPr>
          <w:sz w:val="20"/>
        </w:rPr>
      </w:pPr>
    </w:p>
    <w:p w14:paraId="7E90D8AE" w14:textId="77777777" w:rsidR="00BA4641" w:rsidRDefault="00BA4641" w:rsidP="00BA4641">
      <w:pPr>
        <w:pStyle w:val="Textoindependiente"/>
        <w:rPr>
          <w:sz w:val="20"/>
        </w:rPr>
      </w:pPr>
    </w:p>
    <w:p w14:paraId="15D595D5" w14:textId="77777777" w:rsidR="00BA4641" w:rsidRDefault="00BA4641" w:rsidP="00BA4641">
      <w:pPr>
        <w:pStyle w:val="Textoindependiente"/>
        <w:rPr>
          <w:sz w:val="20"/>
        </w:rPr>
      </w:pPr>
    </w:p>
    <w:p w14:paraId="3DE1C15B" w14:textId="77777777" w:rsidR="00BA4641" w:rsidRDefault="00BA4641" w:rsidP="00BA4641">
      <w:pPr>
        <w:pStyle w:val="Textoindependiente"/>
        <w:rPr>
          <w:sz w:val="20"/>
        </w:rPr>
      </w:pPr>
    </w:p>
    <w:p w14:paraId="18C383A6" w14:textId="77777777" w:rsidR="00BA4641" w:rsidRDefault="00BA4641" w:rsidP="00BA4641">
      <w:pPr>
        <w:pStyle w:val="Textoindependiente"/>
        <w:rPr>
          <w:sz w:val="20"/>
        </w:rPr>
      </w:pPr>
    </w:p>
    <w:p w14:paraId="1F9E24A3" w14:textId="77777777" w:rsidR="00BA4641" w:rsidRDefault="00BA4641" w:rsidP="00BA4641">
      <w:pPr>
        <w:pStyle w:val="Textoindependiente"/>
        <w:rPr>
          <w:sz w:val="20"/>
        </w:rPr>
      </w:pPr>
    </w:p>
    <w:p w14:paraId="10F056F0" w14:textId="77777777" w:rsidR="00BA4641" w:rsidRDefault="00BA4641" w:rsidP="00BA4641">
      <w:pPr>
        <w:pStyle w:val="Textoindependiente"/>
        <w:rPr>
          <w:sz w:val="20"/>
        </w:rPr>
      </w:pPr>
    </w:p>
    <w:p w14:paraId="6F43E0DE" w14:textId="77777777" w:rsidR="00BA4641" w:rsidRDefault="00BA4641" w:rsidP="00BA4641">
      <w:pPr>
        <w:pStyle w:val="Textoindependiente"/>
        <w:rPr>
          <w:sz w:val="20"/>
        </w:rPr>
      </w:pPr>
    </w:p>
    <w:p w14:paraId="1A16A0E2" w14:textId="77777777" w:rsidR="00BA4641" w:rsidRDefault="00BA4641" w:rsidP="00BA4641">
      <w:pPr>
        <w:pStyle w:val="Textoindependiente"/>
        <w:rPr>
          <w:sz w:val="20"/>
        </w:rPr>
      </w:pPr>
    </w:p>
    <w:p w14:paraId="7126B7DE" w14:textId="77777777" w:rsidR="00BA4641" w:rsidRDefault="00BA4641" w:rsidP="00BA4641">
      <w:pPr>
        <w:pStyle w:val="Textoindependiente"/>
        <w:rPr>
          <w:sz w:val="20"/>
        </w:rPr>
      </w:pPr>
    </w:p>
    <w:p w14:paraId="7568C192" w14:textId="77777777" w:rsidR="00BA4641" w:rsidRDefault="00BA4641" w:rsidP="00BA4641">
      <w:pPr>
        <w:pStyle w:val="Textoindependiente"/>
        <w:rPr>
          <w:sz w:val="20"/>
        </w:rPr>
      </w:pPr>
    </w:p>
    <w:p w14:paraId="081177AD" w14:textId="77777777" w:rsidR="00EA147C" w:rsidRDefault="00BA4641" w:rsidP="00EA147C">
      <w:pPr>
        <w:spacing w:before="147"/>
        <w:ind w:left="108"/>
        <w:rPr>
          <w:rFonts w:ascii="Trebuchet MS"/>
          <w:color w:val="20427F"/>
          <w:w w:val="75"/>
          <w:sz w:val="140"/>
        </w:rPr>
      </w:pPr>
      <w:r>
        <w:rPr>
          <w:rFonts w:ascii="Times New Roman"/>
          <w:noProof/>
          <w:lang w:eastAsia="es-GT"/>
        </w:rPr>
        <mc:AlternateContent>
          <mc:Choice Requires="wps">
            <w:drawing>
              <wp:anchor distT="0" distB="0" distL="114300" distR="114300" simplePos="0" relativeHeight="251659264" behindDoc="1" locked="0" layoutInCell="1" allowOverlap="1" wp14:anchorId="790F0A3E" wp14:editId="0C1F26EB">
                <wp:simplePos x="0" y="0"/>
                <wp:positionH relativeFrom="page">
                  <wp:posOffset>1170940</wp:posOffset>
                </wp:positionH>
                <wp:positionV relativeFrom="paragraph">
                  <wp:posOffset>974725</wp:posOffset>
                </wp:positionV>
                <wp:extent cx="3661410" cy="941705"/>
                <wp:effectExtent l="0" t="0" r="0" b="44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1410" cy="94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8F471" w14:textId="77777777" w:rsidR="00FE19A8" w:rsidRDefault="00FE19A8" w:rsidP="00BA4641">
                            <w:pPr>
                              <w:spacing w:line="1483" w:lineRule="exact"/>
                              <w:rPr>
                                <w:rFonts w:ascii="Trebuchet MS"/>
                                <w:sz w:val="140"/>
                              </w:rPr>
                            </w:pPr>
                            <w:r>
                              <w:rPr>
                                <w:rFonts w:ascii="Trebuchet MS"/>
                                <w:color w:val="20427F"/>
                                <w:spacing w:val="112"/>
                                <w:w w:val="65"/>
                                <w:sz w:val="140"/>
                              </w:rPr>
                              <w:t>SEMESTRAL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F0A3E" id="_x0000_t202" coordsize="21600,21600" o:spt="202" path="m,l,21600r21600,l21600,xe">
                <v:stroke joinstyle="miter"/>
                <v:path gradientshapeok="t" o:connecttype="rect"/>
              </v:shapetype>
              <v:shape id="Cuadro de texto 1" o:spid="_x0000_s1026" type="#_x0000_t202" style="position:absolute;left:0;text-align:left;margin-left:92.2pt;margin-top:76.75pt;width:288.3pt;height:7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" filled="f" stroked="f">
                <v:textbox inset="0,0,0,0">
                  <w:txbxContent>
                    <w:p w14:paraId="5108F471" w14:textId="77777777" w:rsidR="00FE19A8" w:rsidRDefault="00FE19A8" w:rsidP="00BA4641">
                      <w:pPr>
                        <w:spacing w:line="1483" w:lineRule="exact"/>
                        <w:rPr>
                          <w:rFonts w:ascii="Trebuchet MS"/>
                          <w:sz w:val="140"/>
                        </w:rPr>
                      </w:pPr>
                      <w:r>
                        <w:rPr>
                          <w:rFonts w:ascii="Trebuchet MS"/>
                          <w:color w:val="20427F"/>
                          <w:spacing w:val="112"/>
                          <w:w w:val="65"/>
                          <w:sz w:val="140"/>
                        </w:rPr>
                        <w:t>SEMESTRAL</w:t>
                      </w:r>
                    </w:p>
                  </w:txbxContent>
                </v:textbox>
                <w10:wrap anchorx="page"/>
              </v:shape>
            </w:pict>
          </mc:Fallback>
        </mc:AlternateContent>
      </w:r>
      <w:r>
        <w:rPr>
          <w:rFonts w:ascii="Trebuchet MS"/>
          <w:color w:val="20427F"/>
          <w:w w:val="75"/>
          <w:sz w:val="140"/>
        </w:rPr>
        <w:t>INFORME</w:t>
      </w:r>
      <w:r w:rsidR="00EA147C">
        <w:rPr>
          <w:rFonts w:ascii="Trebuchet MS"/>
          <w:color w:val="20427F"/>
          <w:w w:val="75"/>
          <w:sz w:val="140"/>
        </w:rPr>
        <w:t xml:space="preserve"> </w:t>
      </w:r>
    </w:p>
    <w:p w14:paraId="36397EEC" w14:textId="77777777" w:rsidR="00EA147C" w:rsidRDefault="00EA147C" w:rsidP="00EA147C">
      <w:pPr>
        <w:spacing w:before="147"/>
        <w:ind w:left="108"/>
        <w:rPr>
          <w:rFonts w:ascii="Trebuchet MS"/>
          <w:color w:val="20427F"/>
          <w:w w:val="75"/>
          <w:sz w:val="140"/>
        </w:rPr>
      </w:pPr>
    </w:p>
    <w:p w14:paraId="77B718C6" w14:textId="77777777" w:rsidR="00BA4641" w:rsidRDefault="00BA4641" w:rsidP="00BA4641">
      <w:pPr>
        <w:pStyle w:val="Textoindependiente"/>
        <w:spacing w:before="921"/>
        <w:ind w:left="108"/>
        <w:rPr>
          <w:rFonts w:ascii="Trebuchet MS"/>
          <w:color w:val="231F20"/>
          <w:w w:val="60"/>
        </w:rPr>
      </w:pPr>
    </w:p>
    <w:p w14:paraId="28B66457" w14:textId="2224C570" w:rsidR="00BA4641" w:rsidRDefault="00BA4641" w:rsidP="00BA4641">
      <w:pPr>
        <w:pStyle w:val="Textoindependiente"/>
        <w:spacing w:before="921"/>
        <w:ind w:left="108"/>
        <w:rPr>
          <w:rFonts w:ascii="Trebuchet MS"/>
        </w:rPr>
      </w:pPr>
      <w:r>
        <w:rPr>
          <w:rFonts w:ascii="Trebuchet MS"/>
          <w:color w:val="231F20"/>
          <w:w w:val="60"/>
        </w:rPr>
        <w:t>PERIODO</w:t>
      </w:r>
      <w:r>
        <w:rPr>
          <w:rFonts w:ascii="Trebuchet MS"/>
          <w:color w:val="231F20"/>
          <w:spacing w:val="11"/>
          <w:w w:val="60"/>
        </w:rPr>
        <w:t xml:space="preserve"> </w:t>
      </w:r>
      <w:r>
        <w:rPr>
          <w:rFonts w:ascii="Trebuchet MS"/>
          <w:color w:val="231F20"/>
          <w:w w:val="60"/>
        </w:rPr>
        <w:t>DE</w:t>
      </w:r>
      <w:r>
        <w:rPr>
          <w:rFonts w:ascii="Trebuchet MS"/>
          <w:color w:val="231F20"/>
          <w:spacing w:val="12"/>
          <w:w w:val="60"/>
        </w:rPr>
        <w:t xml:space="preserve"> </w:t>
      </w:r>
      <w:r>
        <w:rPr>
          <w:rFonts w:ascii="Trebuchet MS"/>
          <w:color w:val="231F20"/>
          <w:w w:val="60"/>
        </w:rPr>
        <w:t>ENERO</w:t>
      </w:r>
      <w:r>
        <w:rPr>
          <w:rFonts w:ascii="Trebuchet MS"/>
          <w:color w:val="231F20"/>
          <w:spacing w:val="11"/>
          <w:w w:val="60"/>
        </w:rPr>
        <w:t xml:space="preserve"> </w:t>
      </w:r>
      <w:r>
        <w:rPr>
          <w:rFonts w:ascii="Trebuchet MS"/>
          <w:color w:val="231F20"/>
          <w:w w:val="60"/>
        </w:rPr>
        <w:t>A</w:t>
      </w:r>
      <w:r>
        <w:rPr>
          <w:rFonts w:ascii="Trebuchet MS"/>
          <w:color w:val="231F20"/>
          <w:spacing w:val="12"/>
          <w:w w:val="60"/>
        </w:rPr>
        <w:t xml:space="preserve"> </w:t>
      </w:r>
      <w:r>
        <w:rPr>
          <w:rFonts w:ascii="Trebuchet MS"/>
          <w:color w:val="231F20"/>
          <w:w w:val="60"/>
        </w:rPr>
        <w:t>JUNIO 2021</w:t>
      </w:r>
    </w:p>
    <w:p w14:paraId="3C21D533" w14:textId="77777777" w:rsidR="00BA4641" w:rsidRDefault="00BA4641" w:rsidP="00BA4641">
      <w:pPr>
        <w:spacing w:before="114" w:after="0" w:line="225" w:lineRule="auto"/>
        <w:ind w:left="108" w:right="7260"/>
        <w:rPr>
          <w:rFonts w:ascii="Tahoma" w:hAnsi="Tahoma"/>
          <w:color w:val="20427F"/>
          <w:w w:val="70"/>
          <w:sz w:val="30"/>
        </w:rPr>
      </w:pPr>
    </w:p>
    <w:p w14:paraId="7834332C" w14:textId="410D73D7" w:rsidR="00BA4641" w:rsidRDefault="00BA4641" w:rsidP="00BA4641">
      <w:pPr>
        <w:spacing w:before="114" w:after="0" w:line="225" w:lineRule="auto"/>
        <w:ind w:left="108" w:right="7260"/>
        <w:rPr>
          <w:rFonts w:ascii="Tahoma" w:hAnsi="Tahoma"/>
          <w:sz w:val="30"/>
        </w:rPr>
      </w:pPr>
      <w:r>
        <w:rPr>
          <w:rFonts w:ascii="Tahoma" w:hAnsi="Tahoma"/>
          <w:color w:val="20427F"/>
          <w:w w:val="70"/>
          <w:sz w:val="30"/>
        </w:rPr>
        <w:t>Clasificador</w:t>
      </w:r>
      <w:r>
        <w:rPr>
          <w:rFonts w:ascii="Tahoma" w:hAnsi="Tahoma"/>
          <w:color w:val="20427F"/>
          <w:spacing w:val="36"/>
          <w:w w:val="70"/>
          <w:sz w:val="30"/>
        </w:rPr>
        <w:t xml:space="preserve"> </w:t>
      </w:r>
      <w:r>
        <w:rPr>
          <w:rFonts w:ascii="Tahoma" w:hAnsi="Tahoma"/>
          <w:color w:val="20427F"/>
          <w:w w:val="70"/>
          <w:sz w:val="30"/>
        </w:rPr>
        <w:t>Presupuestario</w:t>
      </w:r>
      <w:r>
        <w:rPr>
          <w:rFonts w:ascii="Tahoma" w:hAnsi="Tahoma"/>
          <w:color w:val="20427F"/>
          <w:spacing w:val="-63"/>
          <w:w w:val="70"/>
          <w:sz w:val="30"/>
        </w:rPr>
        <w:t xml:space="preserve"> </w:t>
      </w:r>
      <w:r>
        <w:rPr>
          <w:rFonts w:ascii="Tahoma" w:hAnsi="Tahoma"/>
          <w:color w:val="20427F"/>
          <w:w w:val="70"/>
          <w:sz w:val="30"/>
        </w:rPr>
        <w:t>con</w:t>
      </w:r>
      <w:r>
        <w:rPr>
          <w:rFonts w:ascii="Tahoma" w:hAnsi="Tahoma"/>
          <w:color w:val="20427F"/>
          <w:spacing w:val="-3"/>
          <w:w w:val="70"/>
          <w:sz w:val="30"/>
        </w:rPr>
        <w:t xml:space="preserve"> </w:t>
      </w:r>
      <w:r>
        <w:rPr>
          <w:rFonts w:ascii="Tahoma" w:hAnsi="Tahoma"/>
          <w:color w:val="20427F"/>
          <w:w w:val="70"/>
          <w:sz w:val="30"/>
        </w:rPr>
        <w:t>Enfoque</w:t>
      </w:r>
      <w:r>
        <w:rPr>
          <w:rFonts w:ascii="Tahoma" w:hAnsi="Tahoma"/>
          <w:color w:val="20427F"/>
          <w:spacing w:val="-3"/>
          <w:w w:val="70"/>
          <w:sz w:val="30"/>
        </w:rPr>
        <w:t xml:space="preserve"> </w:t>
      </w:r>
      <w:r>
        <w:rPr>
          <w:rFonts w:ascii="Tahoma" w:hAnsi="Tahoma"/>
          <w:color w:val="20427F"/>
          <w:w w:val="70"/>
          <w:sz w:val="30"/>
        </w:rPr>
        <w:t>de</w:t>
      </w:r>
      <w:r>
        <w:rPr>
          <w:rFonts w:ascii="Tahoma" w:hAnsi="Tahoma"/>
          <w:color w:val="20427F"/>
          <w:spacing w:val="-3"/>
          <w:w w:val="70"/>
          <w:sz w:val="30"/>
        </w:rPr>
        <w:t xml:space="preserve"> </w:t>
      </w:r>
      <w:r>
        <w:rPr>
          <w:rFonts w:ascii="Tahoma" w:hAnsi="Tahoma"/>
          <w:color w:val="20427F"/>
          <w:w w:val="70"/>
          <w:sz w:val="30"/>
        </w:rPr>
        <w:t>Género</w:t>
      </w:r>
    </w:p>
    <w:p w14:paraId="059C0976" w14:textId="77777777" w:rsidR="00BA4641" w:rsidRDefault="00BA4641" w:rsidP="00BA4641">
      <w:pPr>
        <w:ind w:left="108"/>
        <w:rPr>
          <w:rFonts w:ascii="Tahoma"/>
          <w:sz w:val="30"/>
        </w:rPr>
      </w:pPr>
      <w:r>
        <w:rPr>
          <w:rFonts w:ascii="Tahoma"/>
          <w:color w:val="20427F"/>
          <w:w w:val="70"/>
          <w:sz w:val="30"/>
        </w:rPr>
        <w:t>Con</w:t>
      </w:r>
      <w:r>
        <w:rPr>
          <w:rFonts w:ascii="Tahoma"/>
          <w:color w:val="20427F"/>
          <w:spacing w:val="2"/>
          <w:w w:val="70"/>
          <w:sz w:val="30"/>
        </w:rPr>
        <w:t xml:space="preserve"> </w:t>
      </w:r>
      <w:r>
        <w:rPr>
          <w:rFonts w:ascii="Tahoma"/>
          <w:color w:val="20427F"/>
          <w:w w:val="70"/>
          <w:sz w:val="30"/>
        </w:rPr>
        <w:t>base</w:t>
      </w:r>
      <w:r>
        <w:rPr>
          <w:rFonts w:ascii="Tahoma"/>
          <w:color w:val="20427F"/>
          <w:spacing w:val="2"/>
          <w:w w:val="70"/>
          <w:sz w:val="30"/>
        </w:rPr>
        <w:t xml:space="preserve"> </w:t>
      </w:r>
      <w:r>
        <w:rPr>
          <w:rFonts w:ascii="Tahoma"/>
          <w:color w:val="20427F"/>
          <w:w w:val="70"/>
          <w:sz w:val="30"/>
        </w:rPr>
        <w:t>en</w:t>
      </w:r>
      <w:r>
        <w:rPr>
          <w:rFonts w:ascii="Tahoma"/>
          <w:color w:val="20427F"/>
          <w:spacing w:val="2"/>
          <w:w w:val="70"/>
          <w:sz w:val="30"/>
        </w:rPr>
        <w:t xml:space="preserve"> </w:t>
      </w:r>
      <w:r>
        <w:rPr>
          <w:rFonts w:ascii="Tahoma"/>
          <w:color w:val="20427F"/>
          <w:w w:val="70"/>
          <w:sz w:val="30"/>
        </w:rPr>
        <w:t>la</w:t>
      </w:r>
      <w:r>
        <w:rPr>
          <w:rFonts w:ascii="Tahoma"/>
          <w:color w:val="20427F"/>
          <w:spacing w:val="3"/>
          <w:w w:val="70"/>
          <w:sz w:val="30"/>
        </w:rPr>
        <w:t xml:space="preserve"> </w:t>
      </w:r>
      <w:r>
        <w:rPr>
          <w:rFonts w:ascii="Tahoma"/>
          <w:color w:val="20427F"/>
          <w:w w:val="70"/>
          <w:sz w:val="30"/>
        </w:rPr>
        <w:t>PNPDIM</w:t>
      </w:r>
      <w:r>
        <w:rPr>
          <w:rFonts w:ascii="Tahoma"/>
          <w:color w:val="20427F"/>
          <w:spacing w:val="2"/>
          <w:w w:val="70"/>
          <w:sz w:val="30"/>
        </w:rPr>
        <w:t xml:space="preserve"> </w:t>
      </w:r>
      <w:r>
        <w:rPr>
          <w:rFonts w:ascii="Tahoma"/>
          <w:color w:val="20427F"/>
          <w:w w:val="70"/>
          <w:sz w:val="30"/>
        </w:rPr>
        <w:t>y</w:t>
      </w:r>
      <w:r>
        <w:rPr>
          <w:rFonts w:ascii="Tahoma"/>
          <w:color w:val="20427F"/>
          <w:spacing w:val="2"/>
          <w:w w:val="70"/>
          <w:sz w:val="30"/>
        </w:rPr>
        <w:t xml:space="preserve"> </w:t>
      </w:r>
      <w:r>
        <w:rPr>
          <w:rFonts w:ascii="Tahoma"/>
          <w:color w:val="20427F"/>
          <w:w w:val="70"/>
          <w:sz w:val="30"/>
        </w:rPr>
        <w:t>PEO</w:t>
      </w:r>
      <w:r>
        <w:rPr>
          <w:rFonts w:ascii="Tahoma"/>
          <w:color w:val="20427F"/>
          <w:spacing w:val="3"/>
          <w:w w:val="70"/>
          <w:sz w:val="30"/>
        </w:rPr>
        <w:t xml:space="preserve"> </w:t>
      </w:r>
      <w:r>
        <w:rPr>
          <w:rFonts w:ascii="Tahoma"/>
          <w:color w:val="20427F"/>
          <w:w w:val="70"/>
          <w:sz w:val="30"/>
        </w:rPr>
        <w:t>2008-2023</w:t>
      </w:r>
    </w:p>
    <w:p w14:paraId="4E23ABB0" w14:textId="77777777" w:rsidR="00BA4641" w:rsidRDefault="00BA4641" w:rsidP="00BA4641">
      <w:pPr>
        <w:pStyle w:val="Textoindependiente"/>
        <w:rPr>
          <w:rFonts w:ascii="Tahoma"/>
          <w:sz w:val="20"/>
        </w:rPr>
      </w:pPr>
    </w:p>
    <w:p w14:paraId="497E6524" w14:textId="77777777" w:rsidR="00BA4641" w:rsidRDefault="00BA4641" w:rsidP="00BA4641">
      <w:pPr>
        <w:pStyle w:val="Textoindependiente"/>
        <w:spacing w:before="5"/>
        <w:rPr>
          <w:rFonts w:ascii="Tahoma"/>
          <w:sz w:val="23"/>
        </w:rPr>
      </w:pPr>
    </w:p>
    <w:p w14:paraId="10FAE6A1" w14:textId="77777777" w:rsidR="00BA4641" w:rsidRDefault="00BA4641" w:rsidP="00BA4641">
      <w:pPr>
        <w:spacing w:before="102"/>
        <w:ind w:left="108"/>
        <w:rPr>
          <w:rFonts w:ascii="Trebuchet MS"/>
          <w:sz w:val="18"/>
        </w:rPr>
      </w:pPr>
      <w:r>
        <w:rPr>
          <w:rFonts w:ascii="Trebuchet MS"/>
          <w:color w:val="231F20"/>
          <w:w w:val="85"/>
          <w:sz w:val="18"/>
        </w:rPr>
        <w:t>GUATEMALA,</w:t>
      </w:r>
      <w:r>
        <w:rPr>
          <w:rFonts w:ascii="Trebuchet MS"/>
          <w:color w:val="231F20"/>
          <w:spacing w:val="-14"/>
          <w:w w:val="85"/>
          <w:sz w:val="18"/>
        </w:rPr>
        <w:t xml:space="preserve"> </w:t>
      </w:r>
      <w:r>
        <w:rPr>
          <w:rFonts w:ascii="Trebuchet MS"/>
          <w:color w:val="231F20"/>
          <w:w w:val="85"/>
          <w:sz w:val="18"/>
        </w:rPr>
        <w:t>DICIEMBRE 2021</w:t>
      </w:r>
    </w:p>
    <w:p w14:paraId="260E4F79" w14:textId="356B7A51" w:rsidR="00444AA3" w:rsidRDefault="00444AA3">
      <w:r>
        <w:br w:type="page"/>
      </w:r>
    </w:p>
    <w:p w14:paraId="5804AE7C" w14:textId="456E0892" w:rsidR="00444AA3" w:rsidRDefault="00444AA3" w:rsidP="00444AA3">
      <w:pPr>
        <w:pStyle w:val="TtuloTDC"/>
      </w:pPr>
    </w:p>
    <w:sdt>
      <w:sdtPr>
        <w:rPr>
          <w:rFonts w:asciiTheme="minorHAnsi" w:eastAsiaTheme="minorHAnsi" w:hAnsiTheme="minorHAnsi" w:cstheme="minorBidi"/>
          <w:color w:val="auto"/>
          <w:sz w:val="22"/>
          <w:szCs w:val="22"/>
          <w:lang w:val="es-ES" w:eastAsia="en-US"/>
        </w:rPr>
        <w:id w:val="-1606650071"/>
        <w:docPartObj>
          <w:docPartGallery w:val="Table of Contents"/>
          <w:docPartUnique/>
        </w:docPartObj>
      </w:sdtPr>
      <w:sdtEndPr>
        <w:rPr>
          <w:b/>
          <w:bCs/>
        </w:rPr>
      </w:sdtEndPr>
      <w:sdtContent>
        <w:p w14:paraId="08F32FD7" w14:textId="32ADC9AB" w:rsidR="000B3B30" w:rsidRDefault="000B3B30">
          <w:pPr>
            <w:pStyle w:val="TtuloTDC"/>
          </w:pPr>
          <w:r>
            <w:rPr>
              <w:lang w:val="es-ES"/>
            </w:rPr>
            <w:t>Contenido</w:t>
          </w:r>
        </w:p>
        <w:p w14:paraId="51E2C636" w14:textId="6C16A5FC" w:rsidR="007B67AC" w:rsidRDefault="000B3B30">
          <w:pPr>
            <w:pStyle w:val="TDC1"/>
            <w:rPr>
              <w:rFonts w:eastAsiaTheme="minorEastAsia"/>
              <w:noProof/>
              <w:lang w:eastAsia="es-GT"/>
            </w:rPr>
          </w:pPr>
          <w:r>
            <w:fldChar w:fldCharType="begin"/>
          </w:r>
          <w:r>
            <w:instrText xml:space="preserve"> TOC \o "1-3" \h \z \u </w:instrText>
          </w:r>
          <w:r>
            <w:fldChar w:fldCharType="separate"/>
          </w:r>
          <w:hyperlink w:anchor="_Toc98759529" w:history="1">
            <w:r w:rsidR="007B67AC" w:rsidRPr="00120D66">
              <w:rPr>
                <w:rStyle w:val="Hipervnculo"/>
                <w:noProof/>
              </w:rPr>
              <w:t>INTRODUCCION</w:t>
            </w:r>
            <w:r w:rsidR="007B67AC">
              <w:rPr>
                <w:noProof/>
                <w:webHidden/>
              </w:rPr>
              <w:tab/>
            </w:r>
            <w:r w:rsidR="007B67AC">
              <w:rPr>
                <w:noProof/>
                <w:webHidden/>
              </w:rPr>
              <w:fldChar w:fldCharType="begin"/>
            </w:r>
            <w:r w:rsidR="007B67AC">
              <w:rPr>
                <w:noProof/>
                <w:webHidden/>
              </w:rPr>
              <w:instrText xml:space="preserve"> PAGEREF _Toc98759529 \h </w:instrText>
            </w:r>
            <w:r w:rsidR="007B67AC">
              <w:rPr>
                <w:noProof/>
                <w:webHidden/>
              </w:rPr>
            </w:r>
            <w:r w:rsidR="007B67AC">
              <w:rPr>
                <w:noProof/>
                <w:webHidden/>
              </w:rPr>
              <w:fldChar w:fldCharType="separate"/>
            </w:r>
            <w:r w:rsidR="007B67AC">
              <w:rPr>
                <w:noProof/>
                <w:webHidden/>
              </w:rPr>
              <w:t>3</w:t>
            </w:r>
            <w:r w:rsidR="007B67AC">
              <w:rPr>
                <w:noProof/>
                <w:webHidden/>
              </w:rPr>
              <w:fldChar w:fldCharType="end"/>
            </w:r>
          </w:hyperlink>
        </w:p>
        <w:p w14:paraId="03DAF1D1" w14:textId="05E85AF8" w:rsidR="007B67AC" w:rsidRDefault="005B7633">
          <w:pPr>
            <w:pStyle w:val="TDC1"/>
            <w:rPr>
              <w:rFonts w:eastAsiaTheme="minorEastAsia"/>
              <w:noProof/>
              <w:lang w:eastAsia="es-GT"/>
            </w:rPr>
          </w:pPr>
          <w:hyperlink w:anchor="_Toc98759530" w:history="1">
            <w:r w:rsidR="007B67AC" w:rsidRPr="00120D66">
              <w:rPr>
                <w:rStyle w:val="Hipervnculo"/>
                <w:noProof/>
              </w:rPr>
              <w:t>OBJETIVO Y ESTRUCTURA DEL CLASIFICADOR PRESUPUESTARIO CON ENFOQUE DE GÉNERO</w:t>
            </w:r>
            <w:r w:rsidR="007B67AC">
              <w:rPr>
                <w:noProof/>
                <w:webHidden/>
              </w:rPr>
              <w:tab/>
            </w:r>
            <w:r w:rsidR="007B67AC">
              <w:rPr>
                <w:noProof/>
                <w:webHidden/>
              </w:rPr>
              <w:fldChar w:fldCharType="begin"/>
            </w:r>
            <w:r w:rsidR="007B67AC">
              <w:rPr>
                <w:noProof/>
                <w:webHidden/>
              </w:rPr>
              <w:instrText xml:space="preserve"> PAGEREF _Toc98759530 \h </w:instrText>
            </w:r>
            <w:r w:rsidR="007B67AC">
              <w:rPr>
                <w:noProof/>
                <w:webHidden/>
              </w:rPr>
            </w:r>
            <w:r w:rsidR="007B67AC">
              <w:rPr>
                <w:noProof/>
                <w:webHidden/>
              </w:rPr>
              <w:fldChar w:fldCharType="separate"/>
            </w:r>
            <w:r w:rsidR="007B67AC">
              <w:rPr>
                <w:noProof/>
                <w:webHidden/>
              </w:rPr>
              <w:t>4</w:t>
            </w:r>
            <w:r w:rsidR="007B67AC">
              <w:rPr>
                <w:noProof/>
                <w:webHidden/>
              </w:rPr>
              <w:fldChar w:fldCharType="end"/>
            </w:r>
          </w:hyperlink>
        </w:p>
        <w:p w14:paraId="017B9D7F" w14:textId="4CF26789" w:rsidR="007B67AC" w:rsidRDefault="005B7633">
          <w:pPr>
            <w:pStyle w:val="TDC1"/>
            <w:rPr>
              <w:rFonts w:eastAsiaTheme="minorEastAsia"/>
              <w:noProof/>
              <w:lang w:eastAsia="es-GT"/>
            </w:rPr>
          </w:pPr>
          <w:hyperlink w:anchor="_Toc98759531" w:history="1">
            <w:r w:rsidR="007B67AC" w:rsidRPr="00120D66">
              <w:rPr>
                <w:rStyle w:val="Hipervnculo"/>
                <w:noProof/>
              </w:rPr>
              <w:t>METODOLOGIA DE IMPLEMENTACIÓN DEL CPEG</w:t>
            </w:r>
            <w:r w:rsidR="007B67AC">
              <w:rPr>
                <w:noProof/>
                <w:webHidden/>
              </w:rPr>
              <w:tab/>
            </w:r>
            <w:r w:rsidR="007B67AC">
              <w:rPr>
                <w:noProof/>
                <w:webHidden/>
              </w:rPr>
              <w:fldChar w:fldCharType="begin"/>
            </w:r>
            <w:r w:rsidR="007B67AC">
              <w:rPr>
                <w:noProof/>
                <w:webHidden/>
              </w:rPr>
              <w:instrText xml:space="preserve"> PAGEREF _Toc98759531 \h </w:instrText>
            </w:r>
            <w:r w:rsidR="007B67AC">
              <w:rPr>
                <w:noProof/>
                <w:webHidden/>
              </w:rPr>
            </w:r>
            <w:r w:rsidR="007B67AC">
              <w:rPr>
                <w:noProof/>
                <w:webHidden/>
              </w:rPr>
              <w:fldChar w:fldCharType="separate"/>
            </w:r>
            <w:r w:rsidR="007B67AC">
              <w:rPr>
                <w:noProof/>
                <w:webHidden/>
              </w:rPr>
              <w:t>6</w:t>
            </w:r>
            <w:r w:rsidR="007B67AC">
              <w:rPr>
                <w:noProof/>
                <w:webHidden/>
              </w:rPr>
              <w:fldChar w:fldCharType="end"/>
            </w:r>
          </w:hyperlink>
        </w:p>
        <w:p w14:paraId="7E55B7F2" w14:textId="34FB7F99" w:rsidR="007B67AC" w:rsidRDefault="005B7633">
          <w:pPr>
            <w:pStyle w:val="TDC1"/>
            <w:rPr>
              <w:rFonts w:eastAsiaTheme="minorEastAsia"/>
              <w:noProof/>
              <w:lang w:eastAsia="es-GT"/>
            </w:rPr>
          </w:pPr>
          <w:hyperlink w:anchor="_Toc98759532" w:history="1">
            <w:r w:rsidR="007B67AC" w:rsidRPr="00120D66">
              <w:rPr>
                <w:rStyle w:val="Hipervnculo"/>
                <w:noProof/>
              </w:rPr>
              <w:t>RESULTADOS</w:t>
            </w:r>
            <w:r w:rsidR="007B67AC">
              <w:rPr>
                <w:noProof/>
                <w:webHidden/>
              </w:rPr>
              <w:tab/>
            </w:r>
            <w:r w:rsidR="007B67AC">
              <w:rPr>
                <w:noProof/>
                <w:webHidden/>
              </w:rPr>
              <w:fldChar w:fldCharType="begin"/>
            </w:r>
            <w:r w:rsidR="007B67AC">
              <w:rPr>
                <w:noProof/>
                <w:webHidden/>
              </w:rPr>
              <w:instrText xml:space="preserve"> PAGEREF _Toc98759532 \h </w:instrText>
            </w:r>
            <w:r w:rsidR="007B67AC">
              <w:rPr>
                <w:noProof/>
                <w:webHidden/>
              </w:rPr>
            </w:r>
            <w:r w:rsidR="007B67AC">
              <w:rPr>
                <w:noProof/>
                <w:webHidden/>
              </w:rPr>
              <w:fldChar w:fldCharType="separate"/>
            </w:r>
            <w:r w:rsidR="007B67AC">
              <w:rPr>
                <w:noProof/>
                <w:webHidden/>
              </w:rPr>
              <w:t>9</w:t>
            </w:r>
            <w:r w:rsidR="007B67AC">
              <w:rPr>
                <w:noProof/>
                <w:webHidden/>
              </w:rPr>
              <w:fldChar w:fldCharType="end"/>
            </w:r>
          </w:hyperlink>
        </w:p>
        <w:p w14:paraId="397EC291" w14:textId="5FCA24A0" w:rsidR="007B67AC" w:rsidRDefault="005B7633">
          <w:pPr>
            <w:pStyle w:val="TDC2"/>
            <w:rPr>
              <w:rFonts w:eastAsiaTheme="minorEastAsia"/>
              <w:noProof/>
              <w:lang w:eastAsia="es-GT"/>
            </w:rPr>
          </w:pPr>
          <w:hyperlink w:anchor="_Toc98759533" w:history="1">
            <w:r w:rsidR="007B67AC" w:rsidRPr="00120D66">
              <w:rPr>
                <w:rStyle w:val="Hipervnculo"/>
                <w:noProof/>
              </w:rPr>
              <w:t>INSTITUCIONES PÚBLICAS VINCULADAS AL CPEG</w:t>
            </w:r>
            <w:r w:rsidR="007B67AC">
              <w:rPr>
                <w:noProof/>
                <w:webHidden/>
              </w:rPr>
              <w:tab/>
            </w:r>
            <w:r w:rsidR="007B67AC">
              <w:rPr>
                <w:noProof/>
                <w:webHidden/>
              </w:rPr>
              <w:fldChar w:fldCharType="begin"/>
            </w:r>
            <w:r w:rsidR="007B67AC">
              <w:rPr>
                <w:noProof/>
                <w:webHidden/>
              </w:rPr>
              <w:instrText xml:space="preserve"> PAGEREF _Toc98759533 \h </w:instrText>
            </w:r>
            <w:r w:rsidR="007B67AC">
              <w:rPr>
                <w:noProof/>
                <w:webHidden/>
              </w:rPr>
            </w:r>
            <w:r w:rsidR="007B67AC">
              <w:rPr>
                <w:noProof/>
                <w:webHidden/>
              </w:rPr>
              <w:fldChar w:fldCharType="separate"/>
            </w:r>
            <w:r w:rsidR="007B67AC">
              <w:rPr>
                <w:noProof/>
                <w:webHidden/>
              </w:rPr>
              <w:t>10</w:t>
            </w:r>
            <w:r w:rsidR="007B67AC">
              <w:rPr>
                <w:noProof/>
                <w:webHidden/>
              </w:rPr>
              <w:fldChar w:fldCharType="end"/>
            </w:r>
          </w:hyperlink>
        </w:p>
        <w:p w14:paraId="4EFAF93C" w14:textId="5821DFBD" w:rsidR="007B67AC" w:rsidRDefault="005B7633">
          <w:pPr>
            <w:pStyle w:val="TDC3"/>
            <w:tabs>
              <w:tab w:val="right" w:leader="dot" w:pos="8828"/>
            </w:tabs>
            <w:rPr>
              <w:rFonts w:eastAsiaTheme="minorEastAsia"/>
              <w:noProof/>
              <w:lang w:eastAsia="es-GT"/>
            </w:rPr>
          </w:pPr>
          <w:hyperlink w:anchor="_Toc98759534" w:history="1">
            <w:r w:rsidR="007B67AC" w:rsidRPr="00120D66">
              <w:rPr>
                <w:rStyle w:val="Hipervnculo"/>
                <w:noProof/>
              </w:rPr>
              <w:t>VINCULACION DE LAS INSTITUCIONES DE ADMINISTRACION CENTRAL AL CPEG</w:t>
            </w:r>
            <w:r w:rsidR="007B67AC">
              <w:rPr>
                <w:noProof/>
                <w:webHidden/>
              </w:rPr>
              <w:tab/>
            </w:r>
            <w:r w:rsidR="007B67AC">
              <w:rPr>
                <w:noProof/>
                <w:webHidden/>
              </w:rPr>
              <w:fldChar w:fldCharType="begin"/>
            </w:r>
            <w:r w:rsidR="007B67AC">
              <w:rPr>
                <w:noProof/>
                <w:webHidden/>
              </w:rPr>
              <w:instrText xml:space="preserve"> PAGEREF _Toc98759534 \h </w:instrText>
            </w:r>
            <w:r w:rsidR="007B67AC">
              <w:rPr>
                <w:noProof/>
                <w:webHidden/>
              </w:rPr>
            </w:r>
            <w:r w:rsidR="007B67AC">
              <w:rPr>
                <w:noProof/>
                <w:webHidden/>
              </w:rPr>
              <w:fldChar w:fldCharType="separate"/>
            </w:r>
            <w:r w:rsidR="007B67AC">
              <w:rPr>
                <w:noProof/>
                <w:webHidden/>
              </w:rPr>
              <w:t>10</w:t>
            </w:r>
            <w:r w:rsidR="007B67AC">
              <w:rPr>
                <w:noProof/>
                <w:webHidden/>
              </w:rPr>
              <w:fldChar w:fldCharType="end"/>
            </w:r>
          </w:hyperlink>
        </w:p>
        <w:p w14:paraId="0D38545B" w14:textId="6EA4158F" w:rsidR="007B67AC" w:rsidRDefault="005B7633">
          <w:pPr>
            <w:pStyle w:val="TDC3"/>
            <w:tabs>
              <w:tab w:val="right" w:leader="dot" w:pos="8828"/>
            </w:tabs>
            <w:rPr>
              <w:rFonts w:eastAsiaTheme="minorEastAsia"/>
              <w:noProof/>
              <w:lang w:eastAsia="es-GT"/>
            </w:rPr>
          </w:pPr>
          <w:hyperlink w:anchor="_Toc98759535" w:history="1">
            <w:r w:rsidR="007B67AC" w:rsidRPr="00120D66">
              <w:rPr>
                <w:rStyle w:val="Hipervnculo"/>
                <w:noProof/>
              </w:rPr>
              <w:t>VINCULACION DE LAS INSTITUCIONES DESCENTRALIZADAS AL CPEG</w:t>
            </w:r>
            <w:r w:rsidR="007B67AC">
              <w:rPr>
                <w:noProof/>
                <w:webHidden/>
              </w:rPr>
              <w:tab/>
            </w:r>
            <w:r w:rsidR="007B67AC">
              <w:rPr>
                <w:noProof/>
                <w:webHidden/>
              </w:rPr>
              <w:fldChar w:fldCharType="begin"/>
            </w:r>
            <w:r w:rsidR="007B67AC">
              <w:rPr>
                <w:noProof/>
                <w:webHidden/>
              </w:rPr>
              <w:instrText xml:space="preserve"> PAGEREF _Toc98759535 \h </w:instrText>
            </w:r>
            <w:r w:rsidR="007B67AC">
              <w:rPr>
                <w:noProof/>
                <w:webHidden/>
              </w:rPr>
            </w:r>
            <w:r w:rsidR="007B67AC">
              <w:rPr>
                <w:noProof/>
                <w:webHidden/>
              </w:rPr>
              <w:fldChar w:fldCharType="separate"/>
            </w:r>
            <w:r w:rsidR="007B67AC">
              <w:rPr>
                <w:noProof/>
                <w:webHidden/>
              </w:rPr>
              <w:t>14</w:t>
            </w:r>
            <w:r w:rsidR="007B67AC">
              <w:rPr>
                <w:noProof/>
                <w:webHidden/>
              </w:rPr>
              <w:fldChar w:fldCharType="end"/>
            </w:r>
          </w:hyperlink>
        </w:p>
        <w:p w14:paraId="4508ED91" w14:textId="45F77FE7" w:rsidR="007B67AC" w:rsidRDefault="005B7633">
          <w:pPr>
            <w:pStyle w:val="TDC3"/>
            <w:tabs>
              <w:tab w:val="right" w:leader="dot" w:pos="8828"/>
            </w:tabs>
            <w:rPr>
              <w:rFonts w:eastAsiaTheme="minorEastAsia"/>
              <w:noProof/>
              <w:lang w:eastAsia="es-GT"/>
            </w:rPr>
          </w:pPr>
          <w:hyperlink w:anchor="_Toc98759536" w:history="1">
            <w:r w:rsidR="007B67AC" w:rsidRPr="00120D66">
              <w:rPr>
                <w:rStyle w:val="Hipervnculo"/>
                <w:noProof/>
              </w:rPr>
              <w:t>VINCULACION DE GOBIERNOS LOCALES AL CPEG</w:t>
            </w:r>
            <w:r w:rsidR="007B67AC">
              <w:rPr>
                <w:noProof/>
                <w:webHidden/>
              </w:rPr>
              <w:tab/>
            </w:r>
            <w:r w:rsidR="007B67AC">
              <w:rPr>
                <w:noProof/>
                <w:webHidden/>
              </w:rPr>
              <w:fldChar w:fldCharType="begin"/>
            </w:r>
            <w:r w:rsidR="007B67AC">
              <w:rPr>
                <w:noProof/>
                <w:webHidden/>
              </w:rPr>
              <w:instrText xml:space="preserve"> PAGEREF _Toc98759536 \h </w:instrText>
            </w:r>
            <w:r w:rsidR="007B67AC">
              <w:rPr>
                <w:noProof/>
                <w:webHidden/>
              </w:rPr>
            </w:r>
            <w:r w:rsidR="007B67AC">
              <w:rPr>
                <w:noProof/>
                <w:webHidden/>
              </w:rPr>
              <w:fldChar w:fldCharType="separate"/>
            </w:r>
            <w:r w:rsidR="007B67AC">
              <w:rPr>
                <w:noProof/>
                <w:webHidden/>
              </w:rPr>
              <w:t>18</w:t>
            </w:r>
            <w:r w:rsidR="007B67AC">
              <w:rPr>
                <w:noProof/>
                <w:webHidden/>
              </w:rPr>
              <w:fldChar w:fldCharType="end"/>
            </w:r>
          </w:hyperlink>
        </w:p>
        <w:p w14:paraId="028EAA99" w14:textId="75B0A12A" w:rsidR="007B67AC" w:rsidRDefault="005B7633">
          <w:pPr>
            <w:pStyle w:val="TDC3"/>
            <w:tabs>
              <w:tab w:val="right" w:leader="dot" w:pos="8828"/>
            </w:tabs>
            <w:rPr>
              <w:rFonts w:eastAsiaTheme="minorEastAsia"/>
              <w:noProof/>
              <w:lang w:eastAsia="es-GT"/>
            </w:rPr>
          </w:pPr>
          <w:hyperlink w:anchor="_Toc98759537" w:history="1">
            <w:r w:rsidR="007B67AC" w:rsidRPr="00120D66">
              <w:rPr>
                <w:rStyle w:val="Hipervnculo"/>
                <w:noProof/>
              </w:rPr>
              <w:t>PROGRAMAS PRESUPUESTARIOS VINCULADO AL CPEG POR LOS GOBIERNOS LOCALES ACORDE A LOS EJES DE LA PNPDIM PARA EL PRIMER SEMESTRE 2021</w:t>
            </w:r>
            <w:r w:rsidR="007B67AC">
              <w:rPr>
                <w:noProof/>
                <w:webHidden/>
              </w:rPr>
              <w:tab/>
            </w:r>
            <w:r w:rsidR="007B67AC">
              <w:rPr>
                <w:noProof/>
                <w:webHidden/>
              </w:rPr>
              <w:fldChar w:fldCharType="begin"/>
            </w:r>
            <w:r w:rsidR="007B67AC">
              <w:rPr>
                <w:noProof/>
                <w:webHidden/>
              </w:rPr>
              <w:instrText xml:space="preserve"> PAGEREF _Toc98759537 \h </w:instrText>
            </w:r>
            <w:r w:rsidR="007B67AC">
              <w:rPr>
                <w:noProof/>
                <w:webHidden/>
              </w:rPr>
            </w:r>
            <w:r w:rsidR="007B67AC">
              <w:rPr>
                <w:noProof/>
                <w:webHidden/>
              </w:rPr>
              <w:fldChar w:fldCharType="separate"/>
            </w:r>
            <w:r w:rsidR="007B67AC">
              <w:rPr>
                <w:noProof/>
                <w:webHidden/>
              </w:rPr>
              <w:t>19</w:t>
            </w:r>
            <w:r w:rsidR="007B67AC">
              <w:rPr>
                <w:noProof/>
                <w:webHidden/>
              </w:rPr>
              <w:fldChar w:fldCharType="end"/>
            </w:r>
          </w:hyperlink>
        </w:p>
        <w:p w14:paraId="363357AB" w14:textId="29D4F0B0" w:rsidR="007B67AC" w:rsidRDefault="005B7633">
          <w:pPr>
            <w:pStyle w:val="TDC2"/>
            <w:rPr>
              <w:rFonts w:eastAsiaTheme="minorEastAsia"/>
              <w:noProof/>
              <w:lang w:eastAsia="es-GT"/>
            </w:rPr>
          </w:pPr>
          <w:hyperlink w:anchor="_Toc98759538" w:history="1">
            <w:r w:rsidR="007B67AC" w:rsidRPr="00120D66">
              <w:rPr>
                <w:rStyle w:val="Hipervnculo"/>
                <w:noProof/>
              </w:rPr>
              <w:t>COMPARATIVOS DE VINCULACIÓN DE GOBIERNO CENTRAL Y GOBIERNO LOCAL VINCULADAS AL CPEG</w:t>
            </w:r>
            <w:r w:rsidR="007B67AC">
              <w:rPr>
                <w:noProof/>
                <w:webHidden/>
              </w:rPr>
              <w:tab/>
            </w:r>
            <w:r w:rsidR="007B67AC">
              <w:rPr>
                <w:noProof/>
                <w:webHidden/>
              </w:rPr>
              <w:fldChar w:fldCharType="begin"/>
            </w:r>
            <w:r w:rsidR="007B67AC">
              <w:rPr>
                <w:noProof/>
                <w:webHidden/>
              </w:rPr>
              <w:instrText xml:space="preserve"> PAGEREF _Toc98759538 \h </w:instrText>
            </w:r>
            <w:r w:rsidR="007B67AC">
              <w:rPr>
                <w:noProof/>
                <w:webHidden/>
              </w:rPr>
            </w:r>
            <w:r w:rsidR="007B67AC">
              <w:rPr>
                <w:noProof/>
                <w:webHidden/>
              </w:rPr>
              <w:fldChar w:fldCharType="separate"/>
            </w:r>
            <w:r w:rsidR="007B67AC">
              <w:rPr>
                <w:noProof/>
                <w:webHidden/>
              </w:rPr>
              <w:t>32</w:t>
            </w:r>
            <w:r w:rsidR="007B67AC">
              <w:rPr>
                <w:noProof/>
                <w:webHidden/>
              </w:rPr>
              <w:fldChar w:fldCharType="end"/>
            </w:r>
          </w:hyperlink>
        </w:p>
        <w:p w14:paraId="6AB71BC7" w14:textId="4901AEB4" w:rsidR="007B67AC" w:rsidRDefault="005B7633">
          <w:pPr>
            <w:pStyle w:val="TDC1"/>
            <w:rPr>
              <w:rFonts w:eastAsiaTheme="minorEastAsia"/>
              <w:noProof/>
              <w:lang w:eastAsia="es-GT"/>
            </w:rPr>
          </w:pPr>
          <w:hyperlink w:anchor="_Toc98759539" w:history="1">
            <w:r w:rsidR="007B67AC" w:rsidRPr="00120D66">
              <w:rPr>
                <w:rStyle w:val="Hipervnculo"/>
                <w:bCs/>
                <w:noProof/>
              </w:rPr>
              <w:t>CONCLUSIONES:</w:t>
            </w:r>
            <w:r w:rsidR="007B67AC">
              <w:rPr>
                <w:noProof/>
                <w:webHidden/>
              </w:rPr>
              <w:tab/>
            </w:r>
            <w:r w:rsidR="007B67AC">
              <w:rPr>
                <w:noProof/>
                <w:webHidden/>
              </w:rPr>
              <w:fldChar w:fldCharType="begin"/>
            </w:r>
            <w:r w:rsidR="007B67AC">
              <w:rPr>
                <w:noProof/>
                <w:webHidden/>
              </w:rPr>
              <w:instrText xml:space="preserve"> PAGEREF _Toc98759539 \h </w:instrText>
            </w:r>
            <w:r w:rsidR="007B67AC">
              <w:rPr>
                <w:noProof/>
                <w:webHidden/>
              </w:rPr>
            </w:r>
            <w:r w:rsidR="007B67AC">
              <w:rPr>
                <w:noProof/>
                <w:webHidden/>
              </w:rPr>
              <w:fldChar w:fldCharType="separate"/>
            </w:r>
            <w:r w:rsidR="007B67AC">
              <w:rPr>
                <w:noProof/>
                <w:webHidden/>
              </w:rPr>
              <w:t>34</w:t>
            </w:r>
            <w:r w:rsidR="007B67AC">
              <w:rPr>
                <w:noProof/>
                <w:webHidden/>
              </w:rPr>
              <w:fldChar w:fldCharType="end"/>
            </w:r>
          </w:hyperlink>
        </w:p>
        <w:p w14:paraId="0DB19E47" w14:textId="7849060A" w:rsidR="007B67AC" w:rsidRDefault="005B7633">
          <w:pPr>
            <w:pStyle w:val="TDC1"/>
            <w:rPr>
              <w:rFonts w:eastAsiaTheme="minorEastAsia"/>
              <w:noProof/>
              <w:lang w:eastAsia="es-GT"/>
            </w:rPr>
          </w:pPr>
          <w:hyperlink w:anchor="_Toc98759540" w:history="1">
            <w:r w:rsidR="007B67AC" w:rsidRPr="00120D66">
              <w:rPr>
                <w:rStyle w:val="Hipervnculo"/>
                <w:bCs/>
                <w:noProof/>
              </w:rPr>
              <w:t>RECOMENDACIONES:</w:t>
            </w:r>
            <w:r w:rsidR="007B67AC">
              <w:rPr>
                <w:noProof/>
                <w:webHidden/>
              </w:rPr>
              <w:tab/>
            </w:r>
            <w:r w:rsidR="007B67AC">
              <w:rPr>
                <w:noProof/>
                <w:webHidden/>
              </w:rPr>
              <w:fldChar w:fldCharType="begin"/>
            </w:r>
            <w:r w:rsidR="007B67AC">
              <w:rPr>
                <w:noProof/>
                <w:webHidden/>
              </w:rPr>
              <w:instrText xml:space="preserve"> PAGEREF _Toc98759540 \h </w:instrText>
            </w:r>
            <w:r w:rsidR="007B67AC">
              <w:rPr>
                <w:noProof/>
                <w:webHidden/>
              </w:rPr>
            </w:r>
            <w:r w:rsidR="007B67AC">
              <w:rPr>
                <w:noProof/>
                <w:webHidden/>
              </w:rPr>
              <w:fldChar w:fldCharType="separate"/>
            </w:r>
            <w:r w:rsidR="007B67AC">
              <w:rPr>
                <w:noProof/>
                <w:webHidden/>
              </w:rPr>
              <w:t>35</w:t>
            </w:r>
            <w:r w:rsidR="007B67AC">
              <w:rPr>
                <w:noProof/>
                <w:webHidden/>
              </w:rPr>
              <w:fldChar w:fldCharType="end"/>
            </w:r>
          </w:hyperlink>
        </w:p>
        <w:p w14:paraId="7211BC5E" w14:textId="0065DD47" w:rsidR="007B67AC" w:rsidRDefault="005B7633">
          <w:pPr>
            <w:pStyle w:val="TDC1"/>
            <w:rPr>
              <w:rFonts w:eastAsiaTheme="minorEastAsia"/>
              <w:noProof/>
              <w:lang w:eastAsia="es-GT"/>
            </w:rPr>
          </w:pPr>
          <w:hyperlink w:anchor="_Toc98759541" w:history="1">
            <w:r w:rsidR="007B67AC" w:rsidRPr="00120D66">
              <w:rPr>
                <w:rStyle w:val="Hipervnculo"/>
                <w:noProof/>
                <w:lang w:val="es-ES"/>
              </w:rPr>
              <w:t>BIBLIOGRAFÍA</w:t>
            </w:r>
            <w:r w:rsidR="007B67AC">
              <w:rPr>
                <w:noProof/>
                <w:webHidden/>
              </w:rPr>
              <w:tab/>
            </w:r>
            <w:r w:rsidR="007B67AC">
              <w:rPr>
                <w:noProof/>
                <w:webHidden/>
              </w:rPr>
              <w:fldChar w:fldCharType="begin"/>
            </w:r>
            <w:r w:rsidR="007B67AC">
              <w:rPr>
                <w:noProof/>
                <w:webHidden/>
              </w:rPr>
              <w:instrText xml:space="preserve"> PAGEREF _Toc98759541 \h </w:instrText>
            </w:r>
            <w:r w:rsidR="007B67AC">
              <w:rPr>
                <w:noProof/>
                <w:webHidden/>
              </w:rPr>
            </w:r>
            <w:r w:rsidR="007B67AC">
              <w:rPr>
                <w:noProof/>
                <w:webHidden/>
              </w:rPr>
              <w:fldChar w:fldCharType="separate"/>
            </w:r>
            <w:r w:rsidR="007B67AC">
              <w:rPr>
                <w:noProof/>
                <w:webHidden/>
              </w:rPr>
              <w:t>36</w:t>
            </w:r>
            <w:r w:rsidR="007B67AC">
              <w:rPr>
                <w:noProof/>
                <w:webHidden/>
              </w:rPr>
              <w:fldChar w:fldCharType="end"/>
            </w:r>
          </w:hyperlink>
        </w:p>
        <w:p w14:paraId="2D74534B" w14:textId="130F4FD1" w:rsidR="007B67AC" w:rsidRDefault="005B7633">
          <w:pPr>
            <w:pStyle w:val="TDC1"/>
            <w:rPr>
              <w:rFonts w:eastAsiaTheme="minorEastAsia"/>
              <w:noProof/>
              <w:lang w:eastAsia="es-GT"/>
            </w:rPr>
          </w:pPr>
          <w:hyperlink w:anchor="_Toc98759542" w:history="1">
            <w:r w:rsidR="007B67AC" w:rsidRPr="00120D66">
              <w:rPr>
                <w:rStyle w:val="Hipervnculo"/>
                <w:noProof/>
              </w:rPr>
              <w:t>ANEXOS</w:t>
            </w:r>
            <w:r w:rsidR="007B67AC">
              <w:rPr>
                <w:noProof/>
                <w:webHidden/>
              </w:rPr>
              <w:tab/>
            </w:r>
            <w:r w:rsidR="007B67AC">
              <w:rPr>
                <w:noProof/>
                <w:webHidden/>
              </w:rPr>
              <w:fldChar w:fldCharType="begin"/>
            </w:r>
            <w:r w:rsidR="007B67AC">
              <w:rPr>
                <w:noProof/>
                <w:webHidden/>
              </w:rPr>
              <w:instrText xml:space="preserve"> PAGEREF _Toc98759542 \h </w:instrText>
            </w:r>
            <w:r w:rsidR="007B67AC">
              <w:rPr>
                <w:noProof/>
                <w:webHidden/>
              </w:rPr>
            </w:r>
            <w:r w:rsidR="007B67AC">
              <w:rPr>
                <w:noProof/>
                <w:webHidden/>
              </w:rPr>
              <w:fldChar w:fldCharType="separate"/>
            </w:r>
            <w:r w:rsidR="007B67AC">
              <w:rPr>
                <w:noProof/>
                <w:webHidden/>
              </w:rPr>
              <w:t>37</w:t>
            </w:r>
            <w:r w:rsidR="007B67AC">
              <w:rPr>
                <w:noProof/>
                <w:webHidden/>
              </w:rPr>
              <w:fldChar w:fldCharType="end"/>
            </w:r>
          </w:hyperlink>
        </w:p>
        <w:p w14:paraId="747EF61D" w14:textId="62AC2282" w:rsidR="000B3B30" w:rsidRDefault="000B3B30">
          <w:r>
            <w:rPr>
              <w:b/>
              <w:bCs/>
              <w:lang w:val="es-ES"/>
            </w:rPr>
            <w:fldChar w:fldCharType="end"/>
          </w:r>
        </w:p>
      </w:sdtContent>
    </w:sdt>
    <w:p w14:paraId="7740387C" w14:textId="55CB5D05" w:rsidR="00444AA3" w:rsidRDefault="00444AA3"/>
    <w:p w14:paraId="14AE56E5" w14:textId="77777777" w:rsidR="00444AA3" w:rsidRDefault="00444AA3"/>
    <w:p w14:paraId="4DCF81D6" w14:textId="77777777" w:rsidR="00444AA3" w:rsidRDefault="00444AA3" w:rsidP="00444AA3"/>
    <w:p w14:paraId="57BBFD7C" w14:textId="294BA55A" w:rsidR="00C7155C" w:rsidRDefault="00C7155C">
      <w:r>
        <w:br w:type="page"/>
      </w:r>
    </w:p>
    <w:p w14:paraId="56133F24" w14:textId="77777777" w:rsidR="00444AA3" w:rsidRDefault="00444AA3" w:rsidP="00444AA3"/>
    <w:p w14:paraId="44F05789" w14:textId="7385312A" w:rsidR="005A642B" w:rsidRDefault="00DE68F3" w:rsidP="00A1374A">
      <w:pPr>
        <w:pStyle w:val="Ttulo1"/>
        <w:spacing w:before="0"/>
      </w:pPr>
      <w:bookmarkStart w:id="0" w:name="_Toc97558441"/>
      <w:bookmarkStart w:id="1" w:name="_Toc98759529"/>
      <w:r w:rsidRPr="00241AAE">
        <w:t>INTRODUCCION</w:t>
      </w:r>
      <w:bookmarkEnd w:id="0"/>
      <w:bookmarkEnd w:id="1"/>
      <w:r w:rsidR="00241AAE">
        <w:tab/>
      </w:r>
    </w:p>
    <w:p w14:paraId="37F77D5C" w14:textId="033B15CD" w:rsidR="00241AAE" w:rsidRDefault="00241AAE" w:rsidP="00241AAE">
      <w:pPr>
        <w:tabs>
          <w:tab w:val="left" w:pos="2190"/>
        </w:tabs>
        <w:rPr>
          <w:b/>
          <w:bCs/>
        </w:rPr>
      </w:pPr>
    </w:p>
    <w:p w14:paraId="190F0474" w14:textId="0E93581B" w:rsidR="00BB6025" w:rsidRDefault="00BB6025" w:rsidP="00A1374A">
      <w:pPr>
        <w:tabs>
          <w:tab w:val="left" w:pos="2190"/>
        </w:tabs>
        <w:spacing w:after="0" w:line="360" w:lineRule="auto"/>
        <w:jc w:val="both"/>
      </w:pPr>
      <w:r>
        <w:t>El Estado de Guatemala a través de la Política Nacional de Promoción y Desarrollo Integral de las Mujeres y el Plan de Equidad de Oportunidades -PNPDIM y PEO  2008 – 2023, promueve el desarrollo integral de las mujeres mayas, garífunas, xincas y mestizas en todas las esferas de la vida económica, social, política y cultural</w:t>
      </w:r>
      <w:r w:rsidR="0086479C">
        <w:t xml:space="preserve">, propiciando </w:t>
      </w:r>
      <w:r>
        <w:t xml:space="preserve">medidas y acciones para reducir las brechas en el acceso a los servicios y promover la equidad entre hombres y mujeres. </w:t>
      </w:r>
    </w:p>
    <w:p w14:paraId="6B856B81" w14:textId="77777777" w:rsidR="00A1374A" w:rsidRDefault="00A1374A" w:rsidP="00A1374A">
      <w:pPr>
        <w:tabs>
          <w:tab w:val="left" w:pos="2190"/>
        </w:tabs>
        <w:spacing w:after="0" w:line="360" w:lineRule="auto"/>
        <w:jc w:val="both"/>
      </w:pPr>
    </w:p>
    <w:p w14:paraId="397AE0C0" w14:textId="45A7ABBF" w:rsidR="00FA5879" w:rsidRPr="009A6884" w:rsidRDefault="009A6884" w:rsidP="00FA5879">
      <w:pPr>
        <w:tabs>
          <w:tab w:val="left" w:pos="2190"/>
        </w:tabs>
        <w:spacing w:after="0" w:line="360" w:lineRule="auto"/>
        <w:jc w:val="both"/>
        <w:rPr>
          <w:strike/>
        </w:rPr>
      </w:pPr>
      <w:r w:rsidRPr="009A6884">
        <w:t>La Secretar</w:t>
      </w:r>
      <w:r w:rsidR="00BF3BE5">
        <w:t>í</w:t>
      </w:r>
      <w:r w:rsidRPr="009A6884">
        <w:t xml:space="preserve">a Presidencial de la Mujer (Seprem) es </w:t>
      </w:r>
      <w:r w:rsidR="00994489">
        <w:t>la institución</w:t>
      </w:r>
      <w:r w:rsidRPr="009A6884">
        <w:t xml:space="preserve"> responsable de asesorar y coordinar las políticas públicas para promover el desarrollo integral de las mujeres guatemaltecas </w:t>
      </w:r>
      <w:r w:rsidR="005E5B45">
        <w:t>y el acompañamiento</w:t>
      </w:r>
      <w:r w:rsidRPr="009A6884">
        <w:t xml:space="preserve"> </w:t>
      </w:r>
      <w:r w:rsidR="00591D01">
        <w:t xml:space="preserve">técnico </w:t>
      </w:r>
      <w:r w:rsidRPr="009A6884">
        <w:t>a la institucionalidad p</w:t>
      </w:r>
      <w:r w:rsidR="00591D01">
        <w:t>ú</w:t>
      </w:r>
      <w:r w:rsidRPr="009A6884">
        <w:t xml:space="preserve">blica con el objetivo de </w:t>
      </w:r>
      <w:r w:rsidR="00CB1E6A" w:rsidRPr="009A6884">
        <w:t>lograr la</w:t>
      </w:r>
      <w:r w:rsidRPr="009A6884">
        <w:t xml:space="preserve"> implementación de la PNPDIM y PEO 2008-2023 y el uso </w:t>
      </w:r>
      <w:r w:rsidR="00BE03C5">
        <w:t xml:space="preserve">adecuado de la herramienta </w:t>
      </w:r>
      <w:r w:rsidRPr="009A6884">
        <w:t>del C</w:t>
      </w:r>
      <w:r w:rsidR="00BE03C5">
        <w:t xml:space="preserve">lasificador </w:t>
      </w:r>
      <w:r w:rsidRPr="009A6884">
        <w:t>P</w:t>
      </w:r>
      <w:r w:rsidR="00BE03C5">
        <w:t xml:space="preserve">resupuestario con </w:t>
      </w:r>
      <w:r w:rsidRPr="009A6884">
        <w:t>E</w:t>
      </w:r>
      <w:r w:rsidR="00BE03C5">
        <w:t xml:space="preserve">nfoque de </w:t>
      </w:r>
      <w:r w:rsidRPr="009A6884">
        <w:t>G</w:t>
      </w:r>
      <w:r w:rsidR="00BE03C5">
        <w:t xml:space="preserve">énero </w:t>
      </w:r>
      <w:r w:rsidR="006C2484">
        <w:t>–</w:t>
      </w:r>
      <w:r w:rsidR="00BE03C5">
        <w:t xml:space="preserve"> CPEG</w:t>
      </w:r>
      <w:r w:rsidR="006C2484">
        <w:t>-</w:t>
      </w:r>
      <w:r w:rsidRPr="009A6884">
        <w:t xml:space="preserve">. </w:t>
      </w:r>
    </w:p>
    <w:p w14:paraId="0704CDF4" w14:textId="77777777" w:rsidR="009A6884" w:rsidRDefault="009A6884" w:rsidP="00FA5879">
      <w:pPr>
        <w:tabs>
          <w:tab w:val="left" w:pos="2190"/>
        </w:tabs>
        <w:spacing w:after="0" w:line="360" w:lineRule="auto"/>
        <w:jc w:val="both"/>
        <w:rPr>
          <w:color w:val="231F20"/>
        </w:rPr>
      </w:pPr>
    </w:p>
    <w:p w14:paraId="120A0A24" w14:textId="2EEFA708" w:rsidR="00734DB8" w:rsidRDefault="00734DB8" w:rsidP="00A1374A">
      <w:pPr>
        <w:tabs>
          <w:tab w:val="left" w:pos="2190"/>
        </w:tabs>
        <w:spacing w:after="0" w:line="360" w:lineRule="auto"/>
        <w:jc w:val="both"/>
        <w:rPr>
          <w:color w:val="231F20"/>
        </w:rPr>
      </w:pPr>
      <w:r>
        <w:rPr>
          <w:color w:val="231F20"/>
        </w:rPr>
        <w:t>A través del Decreto 101-97 del Congreso de la República</w:t>
      </w:r>
      <w:r w:rsidR="00BF3BE5">
        <w:rPr>
          <w:color w:val="231F20"/>
        </w:rPr>
        <w:t>,</w:t>
      </w:r>
      <w:r>
        <w:rPr>
          <w:color w:val="231F20"/>
        </w:rPr>
        <w:t xml:space="preserve"> Ley Orgánica del Presupuesto y sus Reformas, se indica que los presupuestos públicos son la expresión anual de los planes del Estado, elaborados en el marco de la estrategia de desarrollo económico y social (Artículo 8) y se establece en el Reglamento de esta Ley que las instituciones públicas </w:t>
      </w:r>
      <w:r w:rsidR="00570992">
        <w:rPr>
          <w:color w:val="231F20"/>
        </w:rPr>
        <w:t>vincularán</w:t>
      </w:r>
      <w:r>
        <w:rPr>
          <w:color w:val="231F20"/>
        </w:rPr>
        <w:t xml:space="preserve"> al Ministerio de Finanzas Públicas por medio de las plataformas informáticas, las estructuras presupuestarias que den respuesta a los clasificadores temático. (Artículo 39)</w:t>
      </w:r>
    </w:p>
    <w:p w14:paraId="2DE59AD1" w14:textId="77777777" w:rsidR="00A1374A" w:rsidRDefault="00A1374A" w:rsidP="00A1374A">
      <w:pPr>
        <w:tabs>
          <w:tab w:val="left" w:pos="2190"/>
        </w:tabs>
        <w:spacing w:after="0" w:line="360" w:lineRule="auto"/>
        <w:jc w:val="both"/>
        <w:rPr>
          <w:color w:val="231F20"/>
        </w:rPr>
      </w:pPr>
    </w:p>
    <w:p w14:paraId="1B535133" w14:textId="1A86252E" w:rsidR="00BB6025" w:rsidRDefault="00275BB0" w:rsidP="00993D69">
      <w:pPr>
        <w:tabs>
          <w:tab w:val="left" w:pos="2190"/>
        </w:tabs>
        <w:spacing w:after="0" w:line="360" w:lineRule="auto"/>
        <w:jc w:val="both"/>
        <w:rPr>
          <w:color w:val="231F20"/>
        </w:rPr>
      </w:pPr>
      <w:r>
        <w:rPr>
          <w:color w:val="231F20"/>
        </w:rPr>
        <w:t xml:space="preserve">El clasificador presupuestario </w:t>
      </w:r>
      <w:r w:rsidR="00ED785F">
        <w:rPr>
          <w:color w:val="231F20"/>
        </w:rPr>
        <w:t xml:space="preserve">con enfoque </w:t>
      </w:r>
      <w:r w:rsidR="00DB0452">
        <w:rPr>
          <w:color w:val="231F20"/>
        </w:rPr>
        <w:t xml:space="preserve">de género </w:t>
      </w:r>
      <w:r w:rsidR="00734DB8">
        <w:rPr>
          <w:color w:val="231F20"/>
        </w:rPr>
        <w:t xml:space="preserve">– CPEG- </w:t>
      </w:r>
      <w:r>
        <w:rPr>
          <w:color w:val="231F20"/>
        </w:rPr>
        <w:t xml:space="preserve">es una herramienta de registro y clasificación de asignaciones presupuestarias de aquellos programas, subprogramas, proyectos y actividades u obras </w:t>
      </w:r>
      <w:r w:rsidR="00DD2618">
        <w:rPr>
          <w:color w:val="231F20"/>
        </w:rPr>
        <w:t xml:space="preserve">que las instituciones centralizadas, descentralizadas y las municipalidades implementan </w:t>
      </w:r>
      <w:r>
        <w:rPr>
          <w:color w:val="231F20"/>
        </w:rPr>
        <w:t>en pro del desarrollo integral de las mujeres guatemaltecas</w:t>
      </w:r>
      <w:r w:rsidR="00FA5879">
        <w:rPr>
          <w:color w:val="231F20"/>
        </w:rPr>
        <w:t xml:space="preserve"> siendo SEPREM el ente rector del clasificador de género</w:t>
      </w:r>
      <w:r w:rsidR="00DD2618">
        <w:rPr>
          <w:color w:val="231F20"/>
        </w:rPr>
        <w:t>, en donde se evidencian  los</w:t>
      </w:r>
      <w:r w:rsidR="002E3F0E">
        <w:rPr>
          <w:color w:val="231F20"/>
        </w:rPr>
        <w:t xml:space="preserve"> programas, proyectos, actividades u obras, que realizan las instituciones para el cumplimiento de la PNPDIM y PEO 2008 – 2023.</w:t>
      </w:r>
    </w:p>
    <w:p w14:paraId="274D27AF" w14:textId="77777777" w:rsidR="00993D69" w:rsidRDefault="00993D69" w:rsidP="00993D69">
      <w:pPr>
        <w:tabs>
          <w:tab w:val="left" w:pos="2190"/>
        </w:tabs>
        <w:spacing w:after="0" w:line="360" w:lineRule="auto"/>
        <w:jc w:val="both"/>
        <w:rPr>
          <w:color w:val="231F20"/>
        </w:rPr>
      </w:pPr>
    </w:p>
    <w:p w14:paraId="11F6D466" w14:textId="1AD53629" w:rsidR="00BA63EF" w:rsidRDefault="00993D69" w:rsidP="00993D69">
      <w:pPr>
        <w:pStyle w:val="Textoindependiente"/>
        <w:spacing w:before="5" w:line="360" w:lineRule="auto"/>
        <w:jc w:val="both"/>
        <w:rPr>
          <w:rFonts w:asciiTheme="minorHAnsi" w:eastAsiaTheme="minorHAnsi" w:hAnsiTheme="minorHAnsi" w:cstheme="minorBidi"/>
          <w:color w:val="231F20"/>
          <w:sz w:val="22"/>
          <w:szCs w:val="22"/>
          <w:lang w:val="es-GT"/>
        </w:rPr>
      </w:pPr>
      <w:r w:rsidRPr="00993D69">
        <w:rPr>
          <w:rFonts w:asciiTheme="minorHAnsi" w:eastAsiaTheme="minorHAnsi" w:hAnsiTheme="minorHAnsi" w:cstheme="minorBidi"/>
          <w:color w:val="231F20"/>
          <w:sz w:val="22"/>
          <w:szCs w:val="22"/>
          <w:lang w:val="es-GT"/>
        </w:rPr>
        <w:t xml:space="preserve">Asimismo, la Ley Orgánica del Presupuesto, en su artículo 22, establece que serán los entes rectores de cada clasificador quienes velarán porque las estructuras presupuestarias que las entidades definan para cada uno sean consistentes con la política vigente del sector, en este caso con la </w:t>
      </w:r>
      <w:r w:rsidRPr="00993D69">
        <w:rPr>
          <w:rFonts w:asciiTheme="minorHAnsi" w:eastAsiaTheme="minorHAnsi" w:hAnsiTheme="minorHAnsi" w:cstheme="minorBidi"/>
          <w:color w:val="231F20"/>
          <w:sz w:val="22"/>
          <w:szCs w:val="22"/>
          <w:lang w:val="es-GT"/>
        </w:rPr>
        <w:lastRenderedPageBreak/>
        <w:t>PNPDIM.</w:t>
      </w:r>
    </w:p>
    <w:p w14:paraId="5EC22D7B" w14:textId="77777777" w:rsidR="00993D69" w:rsidRDefault="00993D69" w:rsidP="00993D69">
      <w:pPr>
        <w:pStyle w:val="Textoindependiente"/>
        <w:spacing w:before="5" w:line="360" w:lineRule="auto"/>
        <w:jc w:val="both"/>
        <w:rPr>
          <w:rFonts w:asciiTheme="minorHAnsi" w:eastAsiaTheme="minorHAnsi" w:hAnsiTheme="minorHAnsi" w:cstheme="minorBidi"/>
          <w:color w:val="231F20"/>
          <w:sz w:val="22"/>
          <w:szCs w:val="22"/>
          <w:lang w:val="es-GT"/>
        </w:rPr>
      </w:pPr>
    </w:p>
    <w:p w14:paraId="20B8C867" w14:textId="4EDD086C" w:rsidR="00BA63EF" w:rsidRDefault="00EF5FDB" w:rsidP="00A1374A">
      <w:pPr>
        <w:pStyle w:val="Textoindependiente"/>
        <w:spacing w:line="360" w:lineRule="auto"/>
        <w:jc w:val="both"/>
        <w:rPr>
          <w:rFonts w:asciiTheme="minorHAnsi" w:eastAsiaTheme="minorHAnsi" w:hAnsiTheme="minorHAnsi" w:cstheme="minorBidi"/>
          <w:color w:val="231F20"/>
          <w:sz w:val="22"/>
          <w:szCs w:val="22"/>
          <w:lang w:val="es-GT"/>
        </w:rPr>
      </w:pPr>
      <w:r>
        <w:rPr>
          <w:rFonts w:asciiTheme="minorHAnsi" w:eastAsiaTheme="minorHAnsi" w:hAnsiTheme="minorHAnsi" w:cstheme="minorBidi"/>
          <w:color w:val="231F20"/>
          <w:sz w:val="22"/>
          <w:szCs w:val="22"/>
          <w:lang w:val="es-GT"/>
        </w:rPr>
        <w:t xml:space="preserve">A </w:t>
      </w:r>
      <w:r w:rsidR="006C2484">
        <w:rPr>
          <w:rFonts w:asciiTheme="minorHAnsi" w:eastAsiaTheme="minorHAnsi" w:hAnsiTheme="minorHAnsi" w:cstheme="minorBidi"/>
          <w:color w:val="231F20"/>
          <w:sz w:val="22"/>
          <w:szCs w:val="22"/>
          <w:lang w:val="es-GT"/>
        </w:rPr>
        <w:t>continuación,</w:t>
      </w:r>
      <w:r>
        <w:rPr>
          <w:rFonts w:asciiTheme="minorHAnsi" w:eastAsiaTheme="minorHAnsi" w:hAnsiTheme="minorHAnsi" w:cstheme="minorBidi"/>
          <w:color w:val="231F20"/>
          <w:sz w:val="22"/>
          <w:szCs w:val="22"/>
          <w:lang w:val="es-GT"/>
        </w:rPr>
        <w:t xml:space="preserve"> s</w:t>
      </w:r>
      <w:r w:rsidR="00BA63EF">
        <w:rPr>
          <w:rFonts w:asciiTheme="minorHAnsi" w:eastAsiaTheme="minorHAnsi" w:hAnsiTheme="minorHAnsi" w:cstheme="minorBidi"/>
          <w:color w:val="231F20"/>
          <w:sz w:val="22"/>
          <w:szCs w:val="22"/>
          <w:lang w:val="es-GT"/>
        </w:rPr>
        <w:t xml:space="preserve">e presenta el informe correspondiente al primer semestre del ejercicio fiscal 2021 para el período comprendido del 1 de enero al 30 de junio del 2021. </w:t>
      </w:r>
    </w:p>
    <w:p w14:paraId="28252C92" w14:textId="1DD76443" w:rsidR="00963EE7" w:rsidRPr="00241AAE" w:rsidRDefault="00963EE7" w:rsidP="00B473A1">
      <w:pPr>
        <w:pStyle w:val="Ttulo1"/>
        <w:jc w:val="both"/>
      </w:pPr>
      <w:bookmarkStart w:id="2" w:name="_Toc97558442"/>
      <w:bookmarkStart w:id="3" w:name="_Toc98759530"/>
      <w:r w:rsidRPr="00241AAE">
        <w:t xml:space="preserve">OBJETIVO </w:t>
      </w:r>
      <w:r w:rsidR="00FB0131">
        <w:t>Y ESTRUCTURA DEL CLASIFICADOR</w:t>
      </w:r>
      <w:r w:rsidR="00EF5FDB">
        <w:t xml:space="preserve"> PRESUPUESTARIO CON ENFOQUE DE GÉNERO</w:t>
      </w:r>
      <w:bookmarkEnd w:id="2"/>
      <w:bookmarkEnd w:id="3"/>
    </w:p>
    <w:p w14:paraId="4F3DE270" w14:textId="77777777" w:rsidR="00C74D6E" w:rsidRDefault="00C74D6E" w:rsidP="00C74D6E">
      <w:pPr>
        <w:tabs>
          <w:tab w:val="left" w:pos="2190"/>
        </w:tabs>
        <w:jc w:val="both"/>
        <w:rPr>
          <w:color w:val="231F20"/>
        </w:rPr>
      </w:pPr>
    </w:p>
    <w:p w14:paraId="39820469" w14:textId="26556E40" w:rsidR="00C74D6E" w:rsidRDefault="00C74D6E" w:rsidP="00307CBA">
      <w:pPr>
        <w:tabs>
          <w:tab w:val="left" w:pos="2190"/>
        </w:tabs>
        <w:spacing w:after="0" w:line="360" w:lineRule="auto"/>
        <w:jc w:val="both"/>
        <w:rPr>
          <w:color w:val="231F20"/>
        </w:rPr>
      </w:pPr>
      <w:r>
        <w:rPr>
          <w:color w:val="231F20"/>
        </w:rPr>
        <w:t>El objetivo principal del CPEG consiste en cuantificar la asignación de recursos destinados por las instituciones públicas para el cumplimiento de la PNPDIM y PEO 2008 – 2023</w:t>
      </w:r>
      <w:r w:rsidR="00F52834">
        <w:rPr>
          <w:color w:val="231F20"/>
        </w:rPr>
        <w:t>,</w:t>
      </w:r>
      <w:r>
        <w:rPr>
          <w:color w:val="231F20"/>
        </w:rPr>
        <w:t xml:space="preserve"> </w:t>
      </w:r>
      <w:r w:rsidR="00F52834">
        <w:rPr>
          <w:color w:val="231F20"/>
        </w:rPr>
        <w:t xml:space="preserve">permite </w:t>
      </w:r>
      <w:r>
        <w:rPr>
          <w:color w:val="231F20"/>
        </w:rPr>
        <w:t xml:space="preserve">alinear los programas, subprogramas, proyectos, actividades u obras presupuestarias que llevan a cabo las instituciones públicas con los ejes establecidos en la PNPDIM y orientar el proceso de planificación y presupuesto, de forma que se incorporen las acciones que contribuyen a reducir </w:t>
      </w:r>
      <w:r w:rsidR="002E3F0E">
        <w:rPr>
          <w:color w:val="231F20"/>
        </w:rPr>
        <w:t>las brechas</w:t>
      </w:r>
      <w:r>
        <w:rPr>
          <w:color w:val="231F20"/>
        </w:rPr>
        <w:t xml:space="preserve"> de inequidad entre hombres y mujeres. </w:t>
      </w:r>
    </w:p>
    <w:p w14:paraId="3914CEB5" w14:textId="6E4AC4E0" w:rsidR="00307CBA" w:rsidRDefault="00307CBA" w:rsidP="00307CBA">
      <w:pPr>
        <w:tabs>
          <w:tab w:val="left" w:pos="1980"/>
        </w:tabs>
        <w:spacing w:after="0" w:line="360" w:lineRule="auto"/>
        <w:jc w:val="both"/>
      </w:pPr>
    </w:p>
    <w:p w14:paraId="456FBE62" w14:textId="4F5DFED7" w:rsidR="00307CBA" w:rsidRDefault="005B7433" w:rsidP="00307CBA">
      <w:pPr>
        <w:tabs>
          <w:tab w:val="left" w:pos="1980"/>
        </w:tabs>
        <w:spacing w:after="0" w:line="360" w:lineRule="auto"/>
        <w:jc w:val="both"/>
      </w:pPr>
      <w:r>
        <w:t xml:space="preserve">Como se observa en la Tabla </w:t>
      </w:r>
      <w:r w:rsidR="000179EF">
        <w:t>1, la</w:t>
      </w:r>
      <w:r w:rsidR="00307CBA">
        <w:t xml:space="preserve"> estructura del Clasificador Presupuestario </w:t>
      </w:r>
      <w:r w:rsidR="00C95446">
        <w:t xml:space="preserve">con Enfoque de </w:t>
      </w:r>
      <w:r w:rsidR="00154DA6">
        <w:t>Género</w:t>
      </w:r>
      <w:r w:rsidR="00C95446">
        <w:t xml:space="preserve"> </w:t>
      </w:r>
      <w:r w:rsidR="00307CBA">
        <w:t>aborda los doce ejes de la PNPDIM:</w:t>
      </w:r>
    </w:p>
    <w:p w14:paraId="74DADBA7" w14:textId="77777777" w:rsidR="00307CBA" w:rsidRDefault="00307CBA" w:rsidP="00EA1465">
      <w:pPr>
        <w:pStyle w:val="Tabla"/>
        <w:spacing w:after="0" w:line="360" w:lineRule="auto"/>
        <w:jc w:val="center"/>
        <w:rPr>
          <w:b/>
          <w:bCs/>
        </w:rPr>
      </w:pPr>
      <w:r w:rsidRPr="003B78E5">
        <w:rPr>
          <w:b/>
          <w:bCs/>
        </w:rPr>
        <w:t>Tabla 1</w:t>
      </w:r>
    </w:p>
    <w:p w14:paraId="0B297B33" w14:textId="77777777" w:rsidR="00307CBA" w:rsidRPr="003B78E5" w:rsidRDefault="00307CBA" w:rsidP="00307CBA">
      <w:pPr>
        <w:pStyle w:val="Tabla"/>
        <w:spacing w:after="0" w:line="360" w:lineRule="auto"/>
        <w:jc w:val="center"/>
        <w:rPr>
          <w:b/>
          <w:bCs/>
        </w:rPr>
      </w:pPr>
      <w:r w:rsidRPr="003B78E5">
        <w:rPr>
          <w:b/>
          <w:bCs/>
        </w:rPr>
        <w:t>Ejes de la Política Nacional de Promoción y Desarrollo Integral de las Mujeres</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6176"/>
      </w:tblGrid>
      <w:tr w:rsidR="00307CBA" w14:paraId="1F997AC3" w14:textId="77777777" w:rsidTr="00CC0B8F">
        <w:trPr>
          <w:trHeight w:val="334"/>
          <w:tblHeader/>
          <w:jc w:val="center"/>
        </w:trPr>
        <w:tc>
          <w:tcPr>
            <w:tcW w:w="0" w:type="auto"/>
            <w:gridSpan w:val="2"/>
            <w:shd w:val="clear" w:color="auto" w:fill="20427F"/>
          </w:tcPr>
          <w:p w14:paraId="51680BCC" w14:textId="77777777" w:rsidR="00307CBA" w:rsidRDefault="00307CBA" w:rsidP="00022EAC">
            <w:pPr>
              <w:pStyle w:val="TableParagraph"/>
              <w:spacing w:before="87" w:line="360" w:lineRule="auto"/>
              <w:jc w:val="center"/>
              <w:rPr>
                <w:b/>
                <w:sz w:val="19"/>
              </w:rPr>
            </w:pPr>
            <w:r>
              <w:rPr>
                <w:b/>
                <w:color w:val="FFFFFF"/>
                <w:w w:val="95"/>
                <w:sz w:val="19"/>
              </w:rPr>
              <w:t>EJES</w:t>
            </w:r>
            <w:r>
              <w:rPr>
                <w:b/>
                <w:color w:val="FFFFFF"/>
                <w:spacing w:val="6"/>
                <w:w w:val="95"/>
                <w:sz w:val="19"/>
              </w:rPr>
              <w:t xml:space="preserve"> </w:t>
            </w:r>
            <w:r>
              <w:rPr>
                <w:b/>
                <w:color w:val="FFFFFF"/>
                <w:w w:val="95"/>
                <w:sz w:val="19"/>
              </w:rPr>
              <w:t>DE</w:t>
            </w:r>
            <w:r>
              <w:rPr>
                <w:b/>
                <w:color w:val="FFFFFF"/>
                <w:spacing w:val="6"/>
                <w:w w:val="95"/>
                <w:sz w:val="19"/>
              </w:rPr>
              <w:t xml:space="preserve"> </w:t>
            </w:r>
            <w:r>
              <w:rPr>
                <w:b/>
                <w:color w:val="FFFFFF"/>
                <w:w w:val="95"/>
                <w:sz w:val="19"/>
              </w:rPr>
              <w:t>LA</w:t>
            </w:r>
            <w:r>
              <w:rPr>
                <w:b/>
                <w:color w:val="FFFFFF"/>
                <w:spacing w:val="7"/>
                <w:w w:val="95"/>
                <w:sz w:val="19"/>
              </w:rPr>
              <w:t xml:space="preserve"> </w:t>
            </w:r>
            <w:r>
              <w:rPr>
                <w:b/>
                <w:color w:val="FFFFFF"/>
                <w:w w:val="95"/>
                <w:sz w:val="19"/>
              </w:rPr>
              <w:t>PNPDIM</w:t>
            </w:r>
          </w:p>
        </w:tc>
      </w:tr>
      <w:tr w:rsidR="00307CBA" w14:paraId="11E94522" w14:textId="77777777" w:rsidTr="00307CBA">
        <w:trPr>
          <w:trHeight w:val="329"/>
          <w:jc w:val="center"/>
        </w:trPr>
        <w:tc>
          <w:tcPr>
            <w:tcW w:w="0" w:type="auto"/>
          </w:tcPr>
          <w:p w14:paraId="5E0742A9" w14:textId="77777777" w:rsidR="00307CBA" w:rsidRPr="00494309" w:rsidRDefault="00307CBA" w:rsidP="00022EAC">
            <w:pPr>
              <w:pStyle w:val="TableParagraph"/>
              <w:spacing w:before="74" w:line="360" w:lineRule="auto"/>
              <w:ind w:left="28"/>
              <w:jc w:val="center"/>
              <w:rPr>
                <w:bCs/>
                <w:sz w:val="19"/>
              </w:rPr>
            </w:pPr>
            <w:r w:rsidRPr="00494309">
              <w:rPr>
                <w:bCs/>
                <w:color w:val="231F20"/>
                <w:w w:val="67"/>
                <w:sz w:val="19"/>
              </w:rPr>
              <w:t>1</w:t>
            </w:r>
          </w:p>
        </w:tc>
        <w:tc>
          <w:tcPr>
            <w:tcW w:w="0" w:type="auto"/>
          </w:tcPr>
          <w:p w14:paraId="57953398" w14:textId="77777777" w:rsidR="00307CBA" w:rsidRPr="009C25EC" w:rsidRDefault="00307CBA" w:rsidP="00022EAC">
            <w:pPr>
              <w:pStyle w:val="TableParagraph"/>
              <w:spacing w:before="82" w:line="360" w:lineRule="auto"/>
              <w:ind w:left="79"/>
              <w:rPr>
                <w:rFonts w:asciiTheme="minorHAnsi" w:eastAsiaTheme="minorHAnsi" w:hAnsiTheme="minorHAnsi" w:cstheme="minorBidi"/>
                <w:lang w:val="es-GT"/>
              </w:rPr>
            </w:pPr>
            <w:r w:rsidRPr="009C25EC">
              <w:rPr>
                <w:rFonts w:asciiTheme="minorHAnsi" w:eastAsiaTheme="minorHAnsi" w:hAnsiTheme="minorHAnsi" w:cstheme="minorBidi"/>
                <w:lang w:val="es-GT"/>
              </w:rPr>
              <w:t>Desarrollo Económico y Productivo con Equidad</w:t>
            </w:r>
          </w:p>
        </w:tc>
      </w:tr>
      <w:tr w:rsidR="00307CBA" w14:paraId="0F0D4A92" w14:textId="77777777" w:rsidTr="00F42C40">
        <w:trPr>
          <w:trHeight w:val="358"/>
          <w:jc w:val="center"/>
        </w:trPr>
        <w:tc>
          <w:tcPr>
            <w:tcW w:w="0" w:type="auto"/>
          </w:tcPr>
          <w:p w14:paraId="3D0DE6F1" w14:textId="77777777" w:rsidR="00307CBA" w:rsidRPr="00494309" w:rsidRDefault="00307CBA" w:rsidP="00022EAC">
            <w:pPr>
              <w:pStyle w:val="TableParagraph"/>
              <w:spacing w:before="74" w:line="360" w:lineRule="auto"/>
              <w:ind w:left="28"/>
              <w:jc w:val="center"/>
              <w:rPr>
                <w:bCs/>
                <w:sz w:val="19"/>
              </w:rPr>
            </w:pPr>
            <w:r w:rsidRPr="00494309">
              <w:rPr>
                <w:bCs/>
                <w:color w:val="231F20"/>
                <w:w w:val="87"/>
                <w:sz w:val="19"/>
              </w:rPr>
              <w:t>2</w:t>
            </w:r>
          </w:p>
        </w:tc>
        <w:tc>
          <w:tcPr>
            <w:tcW w:w="0" w:type="auto"/>
          </w:tcPr>
          <w:p w14:paraId="5961913A" w14:textId="77777777" w:rsidR="00307CBA" w:rsidRPr="009C25EC" w:rsidRDefault="00307CBA" w:rsidP="00022EAC">
            <w:pPr>
              <w:pStyle w:val="TableParagraph"/>
              <w:spacing w:before="82" w:line="360" w:lineRule="auto"/>
              <w:ind w:left="79"/>
              <w:rPr>
                <w:rFonts w:asciiTheme="minorHAnsi" w:eastAsiaTheme="minorHAnsi" w:hAnsiTheme="minorHAnsi" w:cstheme="minorBidi"/>
                <w:lang w:val="es-GT"/>
              </w:rPr>
            </w:pPr>
            <w:r w:rsidRPr="009C25EC">
              <w:rPr>
                <w:rFonts w:asciiTheme="minorHAnsi" w:eastAsiaTheme="minorHAnsi" w:hAnsiTheme="minorHAnsi" w:cstheme="minorBidi"/>
                <w:lang w:val="es-GT"/>
              </w:rPr>
              <w:t>Recursos Naturales, Tierra y Vivienda</w:t>
            </w:r>
          </w:p>
        </w:tc>
      </w:tr>
      <w:tr w:rsidR="00307CBA" w14:paraId="2B625DA4" w14:textId="77777777" w:rsidTr="00307CBA">
        <w:trPr>
          <w:trHeight w:val="329"/>
          <w:jc w:val="center"/>
        </w:trPr>
        <w:tc>
          <w:tcPr>
            <w:tcW w:w="0" w:type="auto"/>
          </w:tcPr>
          <w:p w14:paraId="0BF2771E" w14:textId="77777777" w:rsidR="00307CBA" w:rsidRPr="00494309" w:rsidRDefault="00307CBA" w:rsidP="00022EAC">
            <w:pPr>
              <w:pStyle w:val="TableParagraph"/>
              <w:spacing w:before="74" w:line="360" w:lineRule="auto"/>
              <w:ind w:left="28"/>
              <w:jc w:val="center"/>
              <w:rPr>
                <w:bCs/>
                <w:sz w:val="19"/>
              </w:rPr>
            </w:pPr>
            <w:r w:rsidRPr="00494309">
              <w:rPr>
                <w:bCs/>
                <w:color w:val="231F20"/>
                <w:w w:val="86"/>
                <w:sz w:val="19"/>
              </w:rPr>
              <w:t>3</w:t>
            </w:r>
          </w:p>
        </w:tc>
        <w:tc>
          <w:tcPr>
            <w:tcW w:w="0" w:type="auto"/>
          </w:tcPr>
          <w:p w14:paraId="6FD07696" w14:textId="77777777" w:rsidR="00307CBA" w:rsidRPr="009C25EC" w:rsidRDefault="00307CBA" w:rsidP="00022EAC">
            <w:pPr>
              <w:pStyle w:val="TableParagraph"/>
              <w:spacing w:before="82" w:line="360" w:lineRule="auto"/>
              <w:ind w:left="79"/>
              <w:rPr>
                <w:rFonts w:asciiTheme="minorHAnsi" w:eastAsiaTheme="minorHAnsi" w:hAnsiTheme="minorHAnsi" w:cstheme="minorBidi"/>
                <w:lang w:val="es-GT"/>
              </w:rPr>
            </w:pPr>
            <w:r w:rsidRPr="009C25EC">
              <w:rPr>
                <w:rFonts w:asciiTheme="minorHAnsi" w:eastAsiaTheme="minorHAnsi" w:hAnsiTheme="minorHAnsi" w:cstheme="minorBidi"/>
                <w:lang w:val="es-GT"/>
              </w:rPr>
              <w:t>Equidad Educativa con pertinencia cultural</w:t>
            </w:r>
          </w:p>
        </w:tc>
      </w:tr>
      <w:tr w:rsidR="00307CBA" w14:paraId="3F0D1E5A" w14:textId="77777777" w:rsidTr="00307CBA">
        <w:trPr>
          <w:trHeight w:val="329"/>
          <w:jc w:val="center"/>
        </w:trPr>
        <w:tc>
          <w:tcPr>
            <w:tcW w:w="0" w:type="auto"/>
          </w:tcPr>
          <w:p w14:paraId="77AF2DDF" w14:textId="77777777" w:rsidR="00307CBA" w:rsidRPr="00494309" w:rsidRDefault="00307CBA" w:rsidP="00022EAC">
            <w:pPr>
              <w:pStyle w:val="TableParagraph"/>
              <w:spacing w:before="74" w:line="360" w:lineRule="auto"/>
              <w:ind w:left="28"/>
              <w:jc w:val="center"/>
              <w:rPr>
                <w:bCs/>
                <w:sz w:val="19"/>
              </w:rPr>
            </w:pPr>
            <w:r w:rsidRPr="00494309">
              <w:rPr>
                <w:bCs/>
                <w:color w:val="231F20"/>
                <w:w w:val="105"/>
                <w:sz w:val="19"/>
              </w:rPr>
              <w:t>4</w:t>
            </w:r>
          </w:p>
        </w:tc>
        <w:tc>
          <w:tcPr>
            <w:tcW w:w="0" w:type="auto"/>
          </w:tcPr>
          <w:p w14:paraId="167FC74A" w14:textId="77777777" w:rsidR="00307CBA" w:rsidRPr="009C25EC" w:rsidRDefault="00307CBA" w:rsidP="00022EAC">
            <w:pPr>
              <w:pStyle w:val="TableParagraph"/>
              <w:spacing w:before="82" w:line="360" w:lineRule="auto"/>
              <w:ind w:left="79"/>
              <w:rPr>
                <w:rFonts w:asciiTheme="minorHAnsi" w:eastAsiaTheme="minorHAnsi" w:hAnsiTheme="minorHAnsi" w:cstheme="minorBidi"/>
                <w:lang w:val="es-GT"/>
              </w:rPr>
            </w:pPr>
            <w:r w:rsidRPr="009C25EC">
              <w:rPr>
                <w:rFonts w:asciiTheme="minorHAnsi" w:eastAsiaTheme="minorHAnsi" w:hAnsiTheme="minorHAnsi" w:cstheme="minorBidi"/>
                <w:lang w:val="es-GT"/>
              </w:rPr>
              <w:t>Equidad en el desarrollo de la Salud integral con pertinencia cultural</w:t>
            </w:r>
          </w:p>
        </w:tc>
      </w:tr>
      <w:tr w:rsidR="00307CBA" w14:paraId="40B81ECE" w14:textId="77777777" w:rsidTr="00307CBA">
        <w:trPr>
          <w:trHeight w:val="329"/>
          <w:jc w:val="center"/>
        </w:trPr>
        <w:tc>
          <w:tcPr>
            <w:tcW w:w="0" w:type="auto"/>
          </w:tcPr>
          <w:p w14:paraId="75522C92" w14:textId="77777777" w:rsidR="00307CBA" w:rsidRPr="00494309" w:rsidRDefault="00307CBA" w:rsidP="00022EAC">
            <w:pPr>
              <w:pStyle w:val="TableParagraph"/>
              <w:spacing w:before="74" w:line="360" w:lineRule="auto"/>
              <w:ind w:left="28"/>
              <w:jc w:val="center"/>
              <w:rPr>
                <w:bCs/>
                <w:sz w:val="19"/>
              </w:rPr>
            </w:pPr>
            <w:r w:rsidRPr="00494309">
              <w:rPr>
                <w:bCs/>
                <w:color w:val="231F20"/>
                <w:w w:val="85"/>
                <w:sz w:val="19"/>
              </w:rPr>
              <w:t>5</w:t>
            </w:r>
          </w:p>
        </w:tc>
        <w:tc>
          <w:tcPr>
            <w:tcW w:w="0" w:type="auto"/>
          </w:tcPr>
          <w:p w14:paraId="6C84E0FC" w14:textId="77777777" w:rsidR="00307CBA" w:rsidRPr="009C25EC" w:rsidRDefault="00307CBA" w:rsidP="00022EAC">
            <w:pPr>
              <w:pStyle w:val="TableParagraph"/>
              <w:spacing w:before="82" w:line="360" w:lineRule="auto"/>
              <w:ind w:left="79"/>
              <w:rPr>
                <w:rFonts w:asciiTheme="minorHAnsi" w:eastAsiaTheme="minorHAnsi" w:hAnsiTheme="minorHAnsi" w:cstheme="minorBidi"/>
                <w:lang w:val="es-GT"/>
              </w:rPr>
            </w:pPr>
            <w:r w:rsidRPr="009C25EC">
              <w:rPr>
                <w:rFonts w:asciiTheme="minorHAnsi" w:eastAsiaTheme="minorHAnsi" w:hAnsiTheme="minorHAnsi" w:cstheme="minorBidi"/>
                <w:lang w:val="es-GT"/>
              </w:rPr>
              <w:t>Erradicación de la Violencia contra las Mujeres</w:t>
            </w:r>
          </w:p>
        </w:tc>
      </w:tr>
      <w:tr w:rsidR="00307CBA" w14:paraId="018DAADD" w14:textId="77777777" w:rsidTr="00307CBA">
        <w:trPr>
          <w:trHeight w:val="329"/>
          <w:jc w:val="center"/>
        </w:trPr>
        <w:tc>
          <w:tcPr>
            <w:tcW w:w="0" w:type="auto"/>
          </w:tcPr>
          <w:p w14:paraId="72829708" w14:textId="77777777" w:rsidR="00307CBA" w:rsidRPr="00494309" w:rsidRDefault="00307CBA" w:rsidP="00022EAC">
            <w:pPr>
              <w:pStyle w:val="TableParagraph"/>
              <w:spacing w:before="74" w:line="360" w:lineRule="auto"/>
              <w:ind w:left="28"/>
              <w:jc w:val="center"/>
              <w:rPr>
                <w:bCs/>
                <w:sz w:val="19"/>
              </w:rPr>
            </w:pPr>
            <w:r w:rsidRPr="00494309">
              <w:rPr>
                <w:bCs/>
                <w:color w:val="231F20"/>
                <w:w w:val="98"/>
                <w:sz w:val="19"/>
              </w:rPr>
              <w:t>6</w:t>
            </w:r>
          </w:p>
        </w:tc>
        <w:tc>
          <w:tcPr>
            <w:tcW w:w="0" w:type="auto"/>
          </w:tcPr>
          <w:p w14:paraId="16E8F1B7" w14:textId="77777777" w:rsidR="00307CBA" w:rsidRPr="009C25EC" w:rsidRDefault="00307CBA" w:rsidP="00022EAC">
            <w:pPr>
              <w:pStyle w:val="TableParagraph"/>
              <w:spacing w:before="82" w:line="360" w:lineRule="auto"/>
              <w:ind w:left="79"/>
              <w:rPr>
                <w:rFonts w:asciiTheme="minorHAnsi" w:eastAsiaTheme="minorHAnsi" w:hAnsiTheme="minorHAnsi" w:cstheme="minorBidi"/>
                <w:lang w:val="es-GT"/>
              </w:rPr>
            </w:pPr>
            <w:r w:rsidRPr="009C25EC">
              <w:rPr>
                <w:rFonts w:asciiTheme="minorHAnsi" w:eastAsiaTheme="minorHAnsi" w:hAnsiTheme="minorHAnsi" w:cstheme="minorBidi"/>
                <w:lang w:val="es-GT"/>
              </w:rPr>
              <w:t>Equidad Jurídica</w:t>
            </w:r>
          </w:p>
        </w:tc>
      </w:tr>
      <w:tr w:rsidR="00307CBA" w14:paraId="3AA74A36" w14:textId="77777777" w:rsidTr="00307CBA">
        <w:trPr>
          <w:trHeight w:val="324"/>
          <w:jc w:val="center"/>
        </w:trPr>
        <w:tc>
          <w:tcPr>
            <w:tcW w:w="0" w:type="auto"/>
          </w:tcPr>
          <w:p w14:paraId="32E0884C" w14:textId="77777777" w:rsidR="00307CBA" w:rsidRPr="00494309" w:rsidRDefault="00307CBA" w:rsidP="00022EAC">
            <w:pPr>
              <w:pStyle w:val="TableParagraph"/>
              <w:spacing w:before="74" w:line="360" w:lineRule="auto"/>
              <w:ind w:left="28"/>
              <w:jc w:val="center"/>
              <w:rPr>
                <w:bCs/>
                <w:sz w:val="19"/>
              </w:rPr>
            </w:pPr>
            <w:r w:rsidRPr="00494309">
              <w:rPr>
                <w:bCs/>
                <w:color w:val="231F20"/>
                <w:w w:val="88"/>
                <w:sz w:val="19"/>
              </w:rPr>
              <w:t>7</w:t>
            </w:r>
          </w:p>
        </w:tc>
        <w:tc>
          <w:tcPr>
            <w:tcW w:w="0" w:type="auto"/>
          </w:tcPr>
          <w:p w14:paraId="6AD9A54C" w14:textId="77777777" w:rsidR="00307CBA" w:rsidRPr="009C25EC" w:rsidRDefault="00307CBA" w:rsidP="00022EAC">
            <w:pPr>
              <w:pStyle w:val="TableParagraph"/>
              <w:spacing w:before="82" w:line="360" w:lineRule="auto"/>
              <w:ind w:left="79"/>
              <w:rPr>
                <w:rFonts w:asciiTheme="minorHAnsi" w:eastAsiaTheme="minorHAnsi" w:hAnsiTheme="minorHAnsi" w:cstheme="minorBidi"/>
                <w:lang w:val="es-GT"/>
              </w:rPr>
            </w:pPr>
            <w:r w:rsidRPr="009C25EC">
              <w:rPr>
                <w:rFonts w:asciiTheme="minorHAnsi" w:eastAsiaTheme="minorHAnsi" w:hAnsiTheme="minorHAnsi" w:cstheme="minorBidi"/>
                <w:lang w:val="es-GT"/>
              </w:rPr>
              <w:t>Racismo y Discriminación contra las Mujeres</w:t>
            </w:r>
          </w:p>
        </w:tc>
      </w:tr>
      <w:tr w:rsidR="00307CBA" w14:paraId="019943EC" w14:textId="77777777" w:rsidTr="00307CBA">
        <w:trPr>
          <w:trHeight w:val="319"/>
          <w:jc w:val="center"/>
        </w:trPr>
        <w:tc>
          <w:tcPr>
            <w:tcW w:w="0" w:type="auto"/>
          </w:tcPr>
          <w:p w14:paraId="3ED6C392" w14:textId="77777777" w:rsidR="00307CBA" w:rsidRPr="00494309" w:rsidRDefault="00307CBA" w:rsidP="00022EAC">
            <w:pPr>
              <w:pStyle w:val="TableParagraph"/>
              <w:spacing w:before="69" w:line="360" w:lineRule="auto"/>
              <w:ind w:left="28"/>
              <w:jc w:val="center"/>
              <w:rPr>
                <w:bCs/>
                <w:sz w:val="19"/>
              </w:rPr>
            </w:pPr>
            <w:r w:rsidRPr="00494309">
              <w:rPr>
                <w:bCs/>
                <w:color w:val="231F20"/>
                <w:w w:val="101"/>
                <w:sz w:val="19"/>
              </w:rPr>
              <w:t>8</w:t>
            </w:r>
          </w:p>
        </w:tc>
        <w:tc>
          <w:tcPr>
            <w:tcW w:w="0" w:type="auto"/>
          </w:tcPr>
          <w:p w14:paraId="50199C98" w14:textId="77777777" w:rsidR="00307CBA" w:rsidRPr="009C25EC" w:rsidRDefault="00307CBA" w:rsidP="00022EAC">
            <w:pPr>
              <w:pStyle w:val="TableParagraph"/>
              <w:spacing w:before="77" w:line="360" w:lineRule="auto"/>
              <w:ind w:left="79"/>
              <w:rPr>
                <w:rFonts w:asciiTheme="minorHAnsi" w:eastAsiaTheme="minorHAnsi" w:hAnsiTheme="minorHAnsi" w:cstheme="minorBidi"/>
                <w:lang w:val="es-GT"/>
              </w:rPr>
            </w:pPr>
            <w:r w:rsidRPr="009C25EC">
              <w:rPr>
                <w:rFonts w:asciiTheme="minorHAnsi" w:eastAsiaTheme="minorHAnsi" w:hAnsiTheme="minorHAnsi" w:cstheme="minorBidi"/>
                <w:lang w:val="es-GT"/>
              </w:rPr>
              <w:t>Equidad e identidad en el Desarrollo Cultural</w:t>
            </w:r>
          </w:p>
        </w:tc>
      </w:tr>
      <w:tr w:rsidR="00307CBA" w14:paraId="475E47C5" w14:textId="77777777" w:rsidTr="00307CBA">
        <w:trPr>
          <w:trHeight w:val="319"/>
          <w:jc w:val="center"/>
        </w:trPr>
        <w:tc>
          <w:tcPr>
            <w:tcW w:w="0" w:type="auto"/>
          </w:tcPr>
          <w:p w14:paraId="6FCF59E5" w14:textId="77777777" w:rsidR="00307CBA" w:rsidRPr="00494309" w:rsidRDefault="00307CBA" w:rsidP="00022EAC">
            <w:pPr>
              <w:pStyle w:val="TableParagraph"/>
              <w:spacing w:before="69" w:line="360" w:lineRule="auto"/>
              <w:ind w:left="28"/>
              <w:jc w:val="center"/>
              <w:rPr>
                <w:bCs/>
                <w:sz w:val="19"/>
              </w:rPr>
            </w:pPr>
            <w:r w:rsidRPr="00494309">
              <w:rPr>
                <w:bCs/>
                <w:color w:val="231F20"/>
                <w:w w:val="98"/>
                <w:sz w:val="19"/>
              </w:rPr>
              <w:t>9</w:t>
            </w:r>
          </w:p>
        </w:tc>
        <w:tc>
          <w:tcPr>
            <w:tcW w:w="0" w:type="auto"/>
          </w:tcPr>
          <w:p w14:paraId="00B8A9FF" w14:textId="77777777" w:rsidR="00307CBA" w:rsidRPr="009C25EC" w:rsidRDefault="00307CBA" w:rsidP="00022EAC">
            <w:pPr>
              <w:pStyle w:val="TableParagraph"/>
              <w:spacing w:before="77" w:line="360" w:lineRule="auto"/>
              <w:ind w:left="79"/>
              <w:rPr>
                <w:rFonts w:asciiTheme="minorHAnsi" w:eastAsiaTheme="minorHAnsi" w:hAnsiTheme="minorHAnsi" w:cstheme="minorBidi"/>
                <w:lang w:val="es-GT"/>
              </w:rPr>
            </w:pPr>
            <w:r w:rsidRPr="009C25EC">
              <w:rPr>
                <w:rFonts w:asciiTheme="minorHAnsi" w:eastAsiaTheme="minorHAnsi" w:hAnsiTheme="minorHAnsi" w:cstheme="minorBidi"/>
                <w:lang w:val="es-GT"/>
              </w:rPr>
              <w:t>Equidad Laboral</w:t>
            </w:r>
          </w:p>
        </w:tc>
      </w:tr>
      <w:tr w:rsidR="00307CBA" w14:paraId="383B8782" w14:textId="77777777" w:rsidTr="00307CBA">
        <w:trPr>
          <w:trHeight w:val="319"/>
          <w:jc w:val="center"/>
        </w:trPr>
        <w:tc>
          <w:tcPr>
            <w:tcW w:w="0" w:type="auto"/>
          </w:tcPr>
          <w:p w14:paraId="06F429E3" w14:textId="77777777" w:rsidR="00307CBA" w:rsidRPr="00494309" w:rsidRDefault="00307CBA" w:rsidP="00022EAC">
            <w:pPr>
              <w:pStyle w:val="TableParagraph"/>
              <w:spacing w:before="69" w:line="360" w:lineRule="auto"/>
              <w:ind w:left="313" w:right="285"/>
              <w:jc w:val="center"/>
              <w:rPr>
                <w:bCs/>
                <w:sz w:val="19"/>
              </w:rPr>
            </w:pPr>
            <w:r w:rsidRPr="00494309">
              <w:rPr>
                <w:bCs/>
                <w:color w:val="231F20"/>
                <w:sz w:val="19"/>
              </w:rPr>
              <w:t>10</w:t>
            </w:r>
          </w:p>
        </w:tc>
        <w:tc>
          <w:tcPr>
            <w:tcW w:w="0" w:type="auto"/>
          </w:tcPr>
          <w:p w14:paraId="5FF795D2" w14:textId="77777777" w:rsidR="00307CBA" w:rsidRPr="009C25EC" w:rsidRDefault="00307CBA" w:rsidP="00022EAC">
            <w:pPr>
              <w:pStyle w:val="TableParagraph"/>
              <w:spacing w:before="77" w:line="360" w:lineRule="auto"/>
              <w:ind w:left="79"/>
              <w:rPr>
                <w:rFonts w:asciiTheme="minorHAnsi" w:eastAsiaTheme="minorHAnsi" w:hAnsiTheme="minorHAnsi" w:cstheme="minorBidi"/>
                <w:lang w:val="es-GT"/>
              </w:rPr>
            </w:pPr>
            <w:r w:rsidRPr="009C25EC">
              <w:rPr>
                <w:rFonts w:asciiTheme="minorHAnsi" w:eastAsiaTheme="minorHAnsi" w:hAnsiTheme="minorHAnsi" w:cstheme="minorBidi"/>
                <w:lang w:val="es-GT"/>
              </w:rPr>
              <w:t>Mecanismos Institucionales</w:t>
            </w:r>
          </w:p>
        </w:tc>
      </w:tr>
      <w:tr w:rsidR="00307CBA" w14:paraId="52907A65" w14:textId="77777777" w:rsidTr="00307CBA">
        <w:trPr>
          <w:trHeight w:val="319"/>
          <w:jc w:val="center"/>
        </w:trPr>
        <w:tc>
          <w:tcPr>
            <w:tcW w:w="0" w:type="auto"/>
          </w:tcPr>
          <w:p w14:paraId="5ECA677B" w14:textId="77777777" w:rsidR="00307CBA" w:rsidRPr="00494309" w:rsidRDefault="00307CBA" w:rsidP="00022EAC">
            <w:pPr>
              <w:pStyle w:val="TableParagraph"/>
              <w:spacing w:before="69" w:line="360" w:lineRule="auto"/>
              <w:ind w:left="313" w:right="285"/>
              <w:jc w:val="center"/>
              <w:rPr>
                <w:bCs/>
                <w:sz w:val="19"/>
              </w:rPr>
            </w:pPr>
            <w:r w:rsidRPr="00494309">
              <w:rPr>
                <w:bCs/>
                <w:color w:val="231F20"/>
                <w:w w:val="75"/>
                <w:sz w:val="19"/>
              </w:rPr>
              <w:lastRenderedPageBreak/>
              <w:t>11</w:t>
            </w:r>
          </w:p>
        </w:tc>
        <w:tc>
          <w:tcPr>
            <w:tcW w:w="0" w:type="auto"/>
          </w:tcPr>
          <w:p w14:paraId="15F0D10C" w14:textId="77777777" w:rsidR="00307CBA" w:rsidRPr="009C25EC" w:rsidRDefault="00307CBA" w:rsidP="00022EAC">
            <w:pPr>
              <w:pStyle w:val="TableParagraph"/>
              <w:spacing w:before="77" w:line="360" w:lineRule="auto"/>
              <w:ind w:left="79"/>
              <w:rPr>
                <w:rFonts w:asciiTheme="minorHAnsi" w:eastAsiaTheme="minorHAnsi" w:hAnsiTheme="minorHAnsi" w:cstheme="minorBidi"/>
                <w:lang w:val="es-GT"/>
              </w:rPr>
            </w:pPr>
            <w:r w:rsidRPr="009C25EC">
              <w:rPr>
                <w:rFonts w:asciiTheme="minorHAnsi" w:eastAsiaTheme="minorHAnsi" w:hAnsiTheme="minorHAnsi" w:cstheme="minorBidi"/>
                <w:lang w:val="es-GT"/>
              </w:rPr>
              <w:t>Participación Sociopolítica</w:t>
            </w:r>
          </w:p>
        </w:tc>
      </w:tr>
      <w:tr w:rsidR="00307CBA" w14:paraId="595D407B" w14:textId="77777777" w:rsidTr="00307CBA">
        <w:trPr>
          <w:trHeight w:val="319"/>
          <w:jc w:val="center"/>
        </w:trPr>
        <w:tc>
          <w:tcPr>
            <w:tcW w:w="0" w:type="auto"/>
          </w:tcPr>
          <w:p w14:paraId="0BB46802" w14:textId="77777777" w:rsidR="00307CBA" w:rsidRPr="00494309" w:rsidRDefault="00307CBA" w:rsidP="00022EAC">
            <w:pPr>
              <w:pStyle w:val="TableParagraph"/>
              <w:spacing w:before="69" w:line="360" w:lineRule="auto"/>
              <w:ind w:left="313" w:right="285"/>
              <w:jc w:val="center"/>
              <w:rPr>
                <w:bCs/>
                <w:color w:val="231F20"/>
                <w:w w:val="75"/>
                <w:sz w:val="19"/>
              </w:rPr>
            </w:pPr>
            <w:r w:rsidRPr="00494309">
              <w:rPr>
                <w:bCs/>
                <w:color w:val="231F20"/>
                <w:w w:val="75"/>
                <w:sz w:val="19"/>
              </w:rPr>
              <w:t>12</w:t>
            </w:r>
          </w:p>
        </w:tc>
        <w:tc>
          <w:tcPr>
            <w:tcW w:w="0" w:type="auto"/>
          </w:tcPr>
          <w:p w14:paraId="2306DD1C" w14:textId="77777777" w:rsidR="00307CBA" w:rsidRPr="009C25EC" w:rsidRDefault="00307CBA" w:rsidP="00022EAC">
            <w:pPr>
              <w:pStyle w:val="TableParagraph"/>
              <w:spacing w:before="77" w:line="360" w:lineRule="auto"/>
              <w:ind w:left="79"/>
              <w:rPr>
                <w:rFonts w:asciiTheme="minorHAnsi" w:eastAsiaTheme="minorHAnsi" w:hAnsiTheme="minorHAnsi" w:cstheme="minorBidi"/>
                <w:lang w:val="es-GT"/>
              </w:rPr>
            </w:pPr>
            <w:r w:rsidRPr="009C25EC">
              <w:rPr>
                <w:rFonts w:asciiTheme="minorHAnsi" w:eastAsiaTheme="minorHAnsi" w:hAnsiTheme="minorHAnsi" w:cstheme="minorBidi"/>
                <w:lang w:val="es-GT"/>
              </w:rPr>
              <w:t>Identidad Cultural de las Mujeres Mayas, Garífunas y Xincas</w:t>
            </w:r>
          </w:p>
        </w:tc>
      </w:tr>
    </w:tbl>
    <w:p w14:paraId="697F8932" w14:textId="0F4DF0F3" w:rsidR="00307CBA" w:rsidRDefault="00387A2F" w:rsidP="00387A2F">
      <w:pPr>
        <w:tabs>
          <w:tab w:val="left" w:pos="851"/>
        </w:tabs>
        <w:spacing w:after="0" w:line="360" w:lineRule="auto"/>
        <w:rPr>
          <w:sz w:val="18"/>
          <w:szCs w:val="18"/>
        </w:rPr>
      </w:pPr>
      <w:r>
        <w:rPr>
          <w:b/>
          <w:bCs/>
          <w:sz w:val="18"/>
          <w:szCs w:val="18"/>
        </w:rPr>
        <w:tab/>
      </w:r>
      <w:r w:rsidRPr="00387A2F">
        <w:rPr>
          <w:sz w:val="18"/>
          <w:szCs w:val="18"/>
        </w:rPr>
        <w:t xml:space="preserve">Fuente: Política Nacional </w:t>
      </w:r>
      <w:r>
        <w:rPr>
          <w:sz w:val="18"/>
          <w:szCs w:val="18"/>
        </w:rPr>
        <w:t>de Promoción y Desarrollo Integral de las Mujeres -PNPDIM</w:t>
      </w:r>
      <w:r w:rsidR="00F42C40">
        <w:rPr>
          <w:sz w:val="18"/>
          <w:szCs w:val="18"/>
        </w:rPr>
        <w:t>.</w:t>
      </w:r>
    </w:p>
    <w:p w14:paraId="3A13789D" w14:textId="77777777" w:rsidR="00387A2F" w:rsidRPr="00387A2F" w:rsidRDefault="00387A2F" w:rsidP="00387A2F">
      <w:pPr>
        <w:tabs>
          <w:tab w:val="left" w:pos="851"/>
        </w:tabs>
        <w:spacing w:after="0" w:line="360" w:lineRule="auto"/>
        <w:rPr>
          <w:sz w:val="18"/>
          <w:szCs w:val="18"/>
        </w:rPr>
      </w:pPr>
    </w:p>
    <w:p w14:paraId="57F45E1A" w14:textId="3712FDE6" w:rsidR="00EF5FDB" w:rsidRPr="00ED0DD9" w:rsidRDefault="00F918E8" w:rsidP="00ED2A32">
      <w:pPr>
        <w:autoSpaceDE w:val="0"/>
        <w:autoSpaceDN w:val="0"/>
        <w:adjustRightInd w:val="0"/>
        <w:spacing w:after="0" w:line="360" w:lineRule="auto"/>
        <w:jc w:val="both"/>
      </w:pPr>
      <w:r w:rsidRPr="00F918E8">
        <w:t xml:space="preserve">Se comprende </w:t>
      </w:r>
      <w:r>
        <w:t>por</w:t>
      </w:r>
      <w:r w:rsidRPr="00F918E8">
        <w:t xml:space="preserve"> catálogo de ruta la</w:t>
      </w:r>
      <w:r>
        <w:t xml:space="preserve"> </w:t>
      </w:r>
      <w:r w:rsidRPr="00F918E8">
        <w:t>codificación de</w:t>
      </w:r>
      <w:r w:rsidR="00CA5EE5">
        <w:t>l</w:t>
      </w:r>
      <w:r w:rsidRPr="00F918E8">
        <w:t xml:space="preserve"> Clasificador Presupuestario con</w:t>
      </w:r>
      <w:r>
        <w:t xml:space="preserve"> </w:t>
      </w:r>
      <w:r w:rsidRPr="00F918E8">
        <w:t>Enfoque de Género</w:t>
      </w:r>
      <w:r w:rsidR="00CA5EE5">
        <w:t xml:space="preserve"> que</w:t>
      </w:r>
      <w:r w:rsidR="00EF5FDB">
        <w:t xml:space="preserve"> permite ordenar los ejes de la PNDIM y los beneficiarios de las </w:t>
      </w:r>
      <w:r>
        <w:t>acciones vinculadas</w:t>
      </w:r>
      <w:r w:rsidR="00EF5FDB">
        <w:t xml:space="preserve"> al Clasificador. </w:t>
      </w:r>
    </w:p>
    <w:p w14:paraId="3906E10C" w14:textId="77777777" w:rsidR="00EF5FDB" w:rsidRDefault="00EF5FDB" w:rsidP="00063F2F">
      <w:pPr>
        <w:tabs>
          <w:tab w:val="left" w:pos="2190"/>
        </w:tabs>
        <w:spacing w:after="0" w:line="360" w:lineRule="auto"/>
        <w:jc w:val="both"/>
      </w:pPr>
    </w:p>
    <w:p w14:paraId="09DBB6D1" w14:textId="2ECE3CFF" w:rsidR="00307CBA" w:rsidRPr="00307CBA" w:rsidRDefault="00307CBA" w:rsidP="00063F2F">
      <w:pPr>
        <w:tabs>
          <w:tab w:val="left" w:pos="2190"/>
        </w:tabs>
        <w:spacing w:after="0" w:line="360" w:lineRule="auto"/>
        <w:jc w:val="both"/>
      </w:pPr>
      <w:r w:rsidRPr="00307CBA">
        <w:t>Por lo que en la estructura se establece la siguiente codificación:</w:t>
      </w:r>
    </w:p>
    <w:p w14:paraId="3A0CB2FF" w14:textId="30AE018A" w:rsidR="00307CBA" w:rsidRDefault="00022EAC" w:rsidP="00063F2F">
      <w:pPr>
        <w:pStyle w:val="Prrafodelista"/>
        <w:numPr>
          <w:ilvl w:val="0"/>
          <w:numId w:val="4"/>
        </w:numPr>
        <w:tabs>
          <w:tab w:val="left" w:pos="2190"/>
        </w:tabs>
        <w:spacing w:after="0" w:line="360" w:lineRule="auto"/>
        <w:jc w:val="both"/>
      </w:pPr>
      <w:r w:rsidRPr="00022EAC">
        <w:t>Código 08</w:t>
      </w:r>
      <w:r>
        <w:t>, establecido para designar al Clasificador con Enfoque de Género.</w:t>
      </w:r>
    </w:p>
    <w:p w14:paraId="1E7DCBE0" w14:textId="4F6F70C1" w:rsidR="00022EAC" w:rsidRDefault="00022EAC" w:rsidP="00063F2F">
      <w:pPr>
        <w:pStyle w:val="Prrafodelista"/>
        <w:numPr>
          <w:ilvl w:val="0"/>
          <w:numId w:val="4"/>
        </w:numPr>
        <w:tabs>
          <w:tab w:val="left" w:pos="2190"/>
        </w:tabs>
        <w:spacing w:after="0" w:line="360" w:lineRule="auto"/>
        <w:jc w:val="both"/>
      </w:pPr>
      <w:r>
        <w:t>Eje de la PNPDIM</w:t>
      </w:r>
      <w:r w:rsidR="009C25EC">
        <w:t xml:space="preserve"> (códigos de 1 a 12)</w:t>
      </w:r>
    </w:p>
    <w:p w14:paraId="62942AB0" w14:textId="4967B8E6" w:rsidR="00022EAC" w:rsidRDefault="00022EAC" w:rsidP="00063F2F">
      <w:pPr>
        <w:pStyle w:val="Prrafodelista"/>
        <w:numPr>
          <w:ilvl w:val="0"/>
          <w:numId w:val="4"/>
        </w:numPr>
        <w:tabs>
          <w:tab w:val="left" w:pos="2190"/>
        </w:tabs>
        <w:spacing w:after="0" w:line="360" w:lineRule="auto"/>
        <w:jc w:val="both"/>
      </w:pPr>
      <w:r>
        <w:t>Beneficiari</w:t>
      </w:r>
      <w:r w:rsidR="008F0B66">
        <w:t>as</w:t>
      </w:r>
      <w:r>
        <w:t>, identifica quienes se benefician de la acción vinculada puede ser:</w:t>
      </w:r>
    </w:p>
    <w:p w14:paraId="67902B60" w14:textId="11AB9591" w:rsidR="00022EAC" w:rsidRDefault="00022EAC" w:rsidP="00063F2F">
      <w:pPr>
        <w:pStyle w:val="Prrafodelista"/>
        <w:numPr>
          <w:ilvl w:val="1"/>
          <w:numId w:val="4"/>
        </w:numPr>
        <w:tabs>
          <w:tab w:val="left" w:pos="2190"/>
        </w:tabs>
        <w:spacing w:after="0" w:line="360" w:lineRule="auto"/>
        <w:jc w:val="both"/>
      </w:pPr>
      <w:r>
        <w:t xml:space="preserve">Asignaciones </w:t>
      </w:r>
      <w:r w:rsidR="009C25EC">
        <w:t>destinadas</w:t>
      </w:r>
      <w:r>
        <w:t xml:space="preserve"> de manera exclusiva mujeres</w:t>
      </w:r>
      <w:r w:rsidR="009C25EC">
        <w:t xml:space="preserve"> (código 1)</w:t>
      </w:r>
    </w:p>
    <w:p w14:paraId="1F8427E2" w14:textId="6EFACF1C" w:rsidR="00CC0B8F" w:rsidRDefault="009C25EC" w:rsidP="003E786B">
      <w:pPr>
        <w:pStyle w:val="Prrafodelista"/>
        <w:numPr>
          <w:ilvl w:val="1"/>
          <w:numId w:val="4"/>
        </w:numPr>
        <w:tabs>
          <w:tab w:val="left" w:pos="2190"/>
        </w:tabs>
        <w:spacing w:after="0" w:line="360" w:lineRule="auto"/>
        <w:jc w:val="both"/>
      </w:pPr>
      <w:r>
        <w:t>Asignaciones destinadas a personas, familias o grupos sociales con énfasis en mujeres. (código 2)</w:t>
      </w:r>
    </w:p>
    <w:p w14:paraId="26E85232" w14:textId="77777777" w:rsidR="00EF5FDB" w:rsidRPr="00EF5FDB" w:rsidRDefault="00EF5FDB" w:rsidP="00EF5FDB">
      <w:pPr>
        <w:pStyle w:val="Prrafodelista"/>
        <w:tabs>
          <w:tab w:val="left" w:pos="2190"/>
        </w:tabs>
        <w:spacing w:after="0" w:line="360" w:lineRule="auto"/>
        <w:ind w:left="1440"/>
        <w:jc w:val="both"/>
      </w:pPr>
    </w:p>
    <w:p w14:paraId="13C48415" w14:textId="65906E83" w:rsidR="003E786B" w:rsidRDefault="003E786B" w:rsidP="003E786B">
      <w:pPr>
        <w:spacing w:after="0" w:line="360" w:lineRule="auto"/>
        <w:jc w:val="both"/>
      </w:pPr>
      <w:r>
        <w:t xml:space="preserve">Las instituciones que ejecutan programas, subprogramas, proyectos, actividades u obras en cumplimiento </w:t>
      </w:r>
      <w:r w:rsidR="008A0103">
        <w:t xml:space="preserve">a la implementación </w:t>
      </w:r>
      <w:r>
        <w:t xml:space="preserve">de la </w:t>
      </w:r>
      <w:r w:rsidR="004E2B50">
        <w:t>PNPDIM, vinculan</w:t>
      </w:r>
      <w:r>
        <w:t xml:space="preserve"> las estructuras programáticas correspondientes al CPEG</w:t>
      </w:r>
      <w:r w:rsidR="004E2B50">
        <w:t xml:space="preserve"> </w:t>
      </w:r>
      <w:r w:rsidR="0099254B">
        <w:t xml:space="preserve">en </w:t>
      </w:r>
      <w:r w:rsidR="00ED2A32">
        <w:t>donde se</w:t>
      </w:r>
      <w:r w:rsidR="004E2B50">
        <w:t xml:space="preserve"> definen los b</w:t>
      </w:r>
      <w:r w:rsidR="00504E8E">
        <w:t>i</w:t>
      </w:r>
      <w:r w:rsidR="004E2B50">
        <w:t xml:space="preserve">enes y servicios que se entregan a la población. </w:t>
      </w:r>
    </w:p>
    <w:p w14:paraId="19E1AC9A" w14:textId="01A74932" w:rsidR="004E2B50" w:rsidRDefault="004E2B50" w:rsidP="003E786B">
      <w:pPr>
        <w:spacing w:after="0" w:line="360" w:lineRule="auto"/>
        <w:jc w:val="both"/>
      </w:pPr>
    </w:p>
    <w:p w14:paraId="09AFADF4" w14:textId="0EB4F6CB" w:rsidR="004E2B50" w:rsidRPr="003E786B" w:rsidRDefault="004E2B50" w:rsidP="003E786B">
      <w:pPr>
        <w:spacing w:after="0" w:line="360" w:lineRule="auto"/>
        <w:jc w:val="both"/>
      </w:pPr>
      <w:r>
        <w:t xml:space="preserve">Es a través de la estructura programática, a nivel de actividad, que se puede establecer el gasto relacionándolo con el desarrollo integral de las mujeres guatemaltecas. </w:t>
      </w:r>
      <w:r w:rsidR="00B473A1">
        <w:t xml:space="preserve">El informe </w:t>
      </w:r>
      <w:r w:rsidR="0069072C">
        <w:t>muestra</w:t>
      </w:r>
      <w:r w:rsidR="00B473A1">
        <w:t xml:space="preserve"> el análisis cuantitativo del gasto </w:t>
      </w:r>
      <w:r w:rsidR="00D7777F">
        <w:t xml:space="preserve">sobre la base del reporte especial de gasto registrado en el Sicoin, </w:t>
      </w:r>
      <w:proofErr w:type="spellStart"/>
      <w:r w:rsidR="00D7777F">
        <w:t>Sicode</w:t>
      </w:r>
      <w:proofErr w:type="spellEnd"/>
      <w:r w:rsidR="00D7777F">
        <w:t xml:space="preserve"> y el Sicoin GL,</w:t>
      </w:r>
      <w:r w:rsidR="00B473A1">
        <w:t xml:space="preserve"> no </w:t>
      </w:r>
      <w:r w:rsidR="00151596">
        <w:t>reflejándose</w:t>
      </w:r>
      <w:r w:rsidR="00B473A1">
        <w:t xml:space="preserve"> datos cualitativos sobre</w:t>
      </w:r>
      <w:r w:rsidR="009C15FD">
        <w:t xml:space="preserve"> efecto e impacto de</w:t>
      </w:r>
      <w:r w:rsidR="00B473A1">
        <w:t xml:space="preserve"> las acciones institucionales. </w:t>
      </w:r>
    </w:p>
    <w:p w14:paraId="76EABEB1" w14:textId="68408379" w:rsidR="00B473A1" w:rsidRDefault="00B473A1" w:rsidP="00B473A1">
      <w:pPr>
        <w:pStyle w:val="Textoindependiente"/>
        <w:ind w:left="1160" w:right="757"/>
        <w:jc w:val="both"/>
      </w:pPr>
      <w:r>
        <w:rPr>
          <w:color w:val="231F20"/>
          <w:w w:val="105"/>
        </w:rPr>
        <w:t>.</w:t>
      </w:r>
    </w:p>
    <w:p w14:paraId="41E98B5C" w14:textId="20F17C4A" w:rsidR="00B473A1" w:rsidRDefault="00B473A1">
      <w:pPr>
        <w:rPr>
          <w:b/>
          <w:bCs/>
        </w:rPr>
      </w:pPr>
      <w:r>
        <w:rPr>
          <w:b/>
          <w:bCs/>
        </w:rPr>
        <w:br w:type="page"/>
      </w:r>
    </w:p>
    <w:p w14:paraId="2CC65BA1" w14:textId="74EC0E68" w:rsidR="00DE68F3" w:rsidRPr="00241AAE" w:rsidRDefault="00DE68F3" w:rsidP="00153122">
      <w:pPr>
        <w:pStyle w:val="Ttulo1"/>
        <w:spacing w:line="360" w:lineRule="auto"/>
      </w:pPr>
      <w:bookmarkStart w:id="4" w:name="_Toc97558443"/>
      <w:bookmarkStart w:id="5" w:name="_Toc98759531"/>
      <w:r w:rsidRPr="00241AAE">
        <w:lastRenderedPageBreak/>
        <w:t>METODOLOGIA</w:t>
      </w:r>
      <w:r w:rsidR="000B3B30">
        <w:t xml:space="preserve"> </w:t>
      </w:r>
      <w:r w:rsidR="00F40618">
        <w:t>DE</w:t>
      </w:r>
      <w:r w:rsidR="000B3B30">
        <w:t xml:space="preserve"> </w:t>
      </w:r>
      <w:r w:rsidR="00F40618">
        <w:t>IMPLEMENTACIÓN</w:t>
      </w:r>
      <w:r w:rsidR="000B3B30">
        <w:t xml:space="preserve"> </w:t>
      </w:r>
      <w:r w:rsidR="00F40618">
        <w:t>DEL CPEG</w:t>
      </w:r>
      <w:bookmarkEnd w:id="4"/>
      <w:bookmarkEnd w:id="5"/>
    </w:p>
    <w:p w14:paraId="13894AAB" w14:textId="39F3C431" w:rsidR="00F40618" w:rsidRDefault="003E3F70" w:rsidP="00A6696A">
      <w:pPr>
        <w:tabs>
          <w:tab w:val="left" w:pos="1980"/>
        </w:tabs>
        <w:spacing w:after="0" w:line="360" w:lineRule="auto"/>
        <w:jc w:val="both"/>
      </w:pPr>
      <w:r>
        <w:t xml:space="preserve">Para la </w:t>
      </w:r>
      <w:r w:rsidR="00A6696A">
        <w:t>implementación de</w:t>
      </w:r>
      <w:r w:rsidR="00F40618">
        <w:t xml:space="preserve"> CPEG existen dos </w:t>
      </w:r>
      <w:r w:rsidR="00CD785A">
        <w:t>rutas para la</w:t>
      </w:r>
      <w:r w:rsidR="00273084">
        <w:t xml:space="preserve"> vinculación </w:t>
      </w:r>
      <w:r w:rsidR="00F40618">
        <w:t>sectorial o territorial.</w:t>
      </w:r>
    </w:p>
    <w:p w14:paraId="3741E6C8" w14:textId="77777777" w:rsidR="00F40618" w:rsidRDefault="00F40618" w:rsidP="00A6696A">
      <w:pPr>
        <w:tabs>
          <w:tab w:val="left" w:pos="1980"/>
        </w:tabs>
        <w:spacing w:after="0" w:line="360" w:lineRule="auto"/>
        <w:jc w:val="both"/>
      </w:pPr>
    </w:p>
    <w:p w14:paraId="2FEE4025" w14:textId="29B1BCFF" w:rsidR="00F40618" w:rsidRPr="00E105DF" w:rsidRDefault="00E105DF" w:rsidP="00A6696A">
      <w:pPr>
        <w:tabs>
          <w:tab w:val="left" w:pos="1980"/>
        </w:tabs>
        <w:spacing w:after="0" w:line="360" w:lineRule="auto"/>
        <w:jc w:val="both"/>
      </w:pPr>
      <w:r>
        <w:t>L</w:t>
      </w:r>
      <w:r w:rsidR="00F40618" w:rsidRPr="00E105DF">
        <w:t xml:space="preserve">a vinculación </w:t>
      </w:r>
      <w:r>
        <w:t xml:space="preserve">sectorial </w:t>
      </w:r>
      <w:r w:rsidR="00F40618" w:rsidRPr="00E105DF">
        <w:t xml:space="preserve">de estructuras presupuestarias se ejecuta según </w:t>
      </w:r>
      <w:r w:rsidR="00D7777F" w:rsidRPr="00E105DF">
        <w:t>los pasos</w:t>
      </w:r>
      <w:r w:rsidR="00090808">
        <w:t xml:space="preserve"> considerados en la ruta crítica</w:t>
      </w:r>
      <w:r w:rsidR="00F40618" w:rsidRPr="00E105DF">
        <w:t>:</w:t>
      </w:r>
    </w:p>
    <w:p w14:paraId="5D01C7FD" w14:textId="0F699979" w:rsidR="00E105DF" w:rsidRDefault="00E105DF" w:rsidP="00A6696A">
      <w:pPr>
        <w:tabs>
          <w:tab w:val="left" w:pos="1980"/>
        </w:tabs>
        <w:spacing w:after="0" w:line="360" w:lineRule="auto"/>
        <w:jc w:val="both"/>
        <w:rPr>
          <w:strike/>
        </w:rPr>
      </w:pPr>
    </w:p>
    <w:p w14:paraId="61316D0E" w14:textId="781FB201" w:rsidR="00E105DF" w:rsidRDefault="00E105DF" w:rsidP="00A6696A">
      <w:pPr>
        <w:tabs>
          <w:tab w:val="left" w:pos="1980"/>
        </w:tabs>
        <w:spacing w:after="0" w:line="360" w:lineRule="auto"/>
        <w:jc w:val="both"/>
        <w:rPr>
          <w:strike/>
        </w:rPr>
      </w:pPr>
      <w:r>
        <w:rPr>
          <w:noProof/>
          <w:lang w:eastAsia="es-GT"/>
        </w:rPr>
        <w:drawing>
          <wp:inline distT="0" distB="0" distL="0" distR="0" wp14:anchorId="00C0B5BE" wp14:editId="0AB0B969">
            <wp:extent cx="5612130" cy="3156585"/>
            <wp:effectExtent l="0" t="0" r="762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p>
    <w:p w14:paraId="390EAF0A" w14:textId="77777777" w:rsidR="00D267AE" w:rsidRDefault="00A6696A" w:rsidP="00A6696A">
      <w:pPr>
        <w:shd w:val="clear" w:color="auto" w:fill="FFFFFF"/>
        <w:spacing w:after="0" w:line="360" w:lineRule="auto"/>
        <w:jc w:val="both"/>
      </w:pPr>
      <w:r w:rsidRPr="00326320">
        <w:t> </w:t>
      </w:r>
    </w:p>
    <w:p w14:paraId="27BF4269" w14:textId="77777777" w:rsidR="00D267AE" w:rsidRDefault="00D267AE" w:rsidP="00A6696A">
      <w:pPr>
        <w:shd w:val="clear" w:color="auto" w:fill="FFFFFF"/>
        <w:spacing w:after="0" w:line="360" w:lineRule="auto"/>
        <w:jc w:val="both"/>
      </w:pPr>
    </w:p>
    <w:p w14:paraId="1C5816C8" w14:textId="77777777" w:rsidR="00D97945" w:rsidRDefault="00D97945">
      <w:r>
        <w:br w:type="page"/>
      </w:r>
    </w:p>
    <w:p w14:paraId="4B37759C" w14:textId="5C615072" w:rsidR="00A6696A" w:rsidRDefault="00A6696A" w:rsidP="00A6696A">
      <w:pPr>
        <w:shd w:val="clear" w:color="auto" w:fill="FFFFFF"/>
        <w:spacing w:after="0" w:line="360" w:lineRule="auto"/>
        <w:jc w:val="both"/>
      </w:pPr>
      <w:r w:rsidRPr="00326320">
        <w:lastRenderedPageBreak/>
        <w:t xml:space="preserve">A nivel de territorial </w:t>
      </w:r>
      <w:r w:rsidR="00090808">
        <w:t xml:space="preserve">(Municipalidades) </w:t>
      </w:r>
      <w:r w:rsidR="008F32C5" w:rsidRPr="00326320">
        <w:t>se realiza de la manera siguiente</w:t>
      </w:r>
    </w:p>
    <w:p w14:paraId="6957C528" w14:textId="02F8BD76" w:rsidR="00326320" w:rsidRPr="00326320" w:rsidRDefault="00326320" w:rsidP="00A6696A">
      <w:pPr>
        <w:shd w:val="clear" w:color="auto" w:fill="FFFFFF"/>
        <w:spacing w:after="0" w:line="360" w:lineRule="auto"/>
        <w:jc w:val="both"/>
      </w:pPr>
      <w:r>
        <w:rPr>
          <w:noProof/>
          <w:lang w:eastAsia="es-GT"/>
        </w:rPr>
        <w:drawing>
          <wp:inline distT="0" distB="0" distL="0" distR="0" wp14:anchorId="42DA27D7" wp14:editId="3A1EE675">
            <wp:extent cx="5335905" cy="3001220"/>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1889" cy="3015835"/>
                    </a:xfrm>
                    <a:prstGeom prst="rect">
                      <a:avLst/>
                    </a:prstGeom>
                    <a:noFill/>
                    <a:ln>
                      <a:noFill/>
                    </a:ln>
                  </pic:spPr>
                </pic:pic>
              </a:graphicData>
            </a:graphic>
          </wp:inline>
        </w:drawing>
      </w:r>
    </w:p>
    <w:p w14:paraId="19E87BDB" w14:textId="77777777" w:rsidR="00A6696A" w:rsidRPr="00A6696A" w:rsidRDefault="00A6696A" w:rsidP="00A6696A">
      <w:pPr>
        <w:shd w:val="clear" w:color="auto" w:fill="FFFFFF"/>
        <w:spacing w:after="0" w:line="360" w:lineRule="auto"/>
        <w:jc w:val="both"/>
      </w:pPr>
    </w:p>
    <w:p w14:paraId="02A62631" w14:textId="09905EF5" w:rsidR="00645E73" w:rsidRDefault="00F327BF" w:rsidP="00645E73">
      <w:pPr>
        <w:shd w:val="clear" w:color="auto" w:fill="FFFFFF"/>
        <w:spacing w:after="0" w:line="360" w:lineRule="auto"/>
        <w:jc w:val="both"/>
      </w:pPr>
      <w:r>
        <w:t xml:space="preserve">Como puede observarse en los esquemas presentados, </w:t>
      </w:r>
      <w:r w:rsidR="00C51829">
        <w:t>Las</w:t>
      </w:r>
      <w:r w:rsidR="00645E73">
        <w:t xml:space="preserve"> instituciones </w:t>
      </w:r>
      <w:r w:rsidR="00B0331D">
        <w:t xml:space="preserve">públicas </w:t>
      </w:r>
      <w:r w:rsidR="00645E73">
        <w:t>a nivel central definen las acciones</w:t>
      </w:r>
      <w:r w:rsidR="00C51829">
        <w:t xml:space="preserve">, proponen estructuras a vincular y en consenso con SEPREM las trasladan a la Dirección Técnica </w:t>
      </w:r>
      <w:r w:rsidR="00B0331D">
        <w:t>del Presupuesto</w:t>
      </w:r>
      <w:r w:rsidR="00C51829">
        <w:t xml:space="preserve"> (DTP) de</w:t>
      </w:r>
      <w:r w:rsidR="00F42489">
        <w:t>l Ministerio de Finanzas -</w:t>
      </w:r>
      <w:r w:rsidR="00C51829">
        <w:t xml:space="preserve"> MINFIN. </w:t>
      </w:r>
      <w:r>
        <w:t>Sin embargo, e</w:t>
      </w:r>
      <w:r w:rsidR="00C51829">
        <w:t>n atención al Decreto 12-200</w:t>
      </w:r>
      <w:r w:rsidR="00B0331D">
        <w:t>2</w:t>
      </w:r>
      <w:r w:rsidR="00C51829">
        <w:t xml:space="preserve">, Código Municipal, </w:t>
      </w:r>
      <w:r w:rsidR="0094359B">
        <w:t xml:space="preserve">Artículo 131 Formulación y aprobación del Presupuesto, </w:t>
      </w:r>
      <w:r w:rsidR="00C51829">
        <w:t>los gobiernos locales definen las acciones y proponen estructuras a vincular y la Dirección</w:t>
      </w:r>
      <w:r w:rsidR="00C54800">
        <w:t xml:space="preserve"> Administrativa</w:t>
      </w:r>
      <w:r w:rsidR="00C51829">
        <w:t xml:space="preserve"> Financiera Municipal </w:t>
      </w:r>
      <w:r w:rsidR="00C54800">
        <w:t xml:space="preserve">realiza el marcaje de las </w:t>
      </w:r>
      <w:r w:rsidR="0094359B">
        <w:t xml:space="preserve">estructuras. </w:t>
      </w:r>
    </w:p>
    <w:p w14:paraId="0ECE5EF2" w14:textId="1E1D1932" w:rsidR="003D4713" w:rsidRDefault="003D4713" w:rsidP="00A6696A">
      <w:pPr>
        <w:shd w:val="clear" w:color="auto" w:fill="FFFFFF"/>
        <w:spacing w:after="0" w:line="360" w:lineRule="auto"/>
        <w:jc w:val="both"/>
      </w:pPr>
    </w:p>
    <w:p w14:paraId="5D5C5E3E" w14:textId="4F7950AD" w:rsidR="003D4713" w:rsidRDefault="003D4713" w:rsidP="00A6696A">
      <w:pPr>
        <w:shd w:val="clear" w:color="auto" w:fill="FFFFFF"/>
        <w:spacing w:after="0" w:line="360" w:lineRule="auto"/>
        <w:jc w:val="both"/>
      </w:pPr>
      <w:r>
        <w:t>Seprem como ente rector del Clasificador Presupuestario con Enfoque de Género realiz</w:t>
      </w:r>
      <w:r w:rsidR="008D1227">
        <w:t>ó</w:t>
      </w:r>
      <w:r>
        <w:t xml:space="preserve"> </w:t>
      </w:r>
      <w:r w:rsidR="00EB3FA3">
        <w:t>asistencia técnica y</w:t>
      </w:r>
      <w:r>
        <w:t xml:space="preserve"> transferencias metodológicas </w:t>
      </w:r>
      <w:r w:rsidR="00EB3FA3">
        <w:t>para la implementación de la PNPDIM en</w:t>
      </w:r>
      <w:r>
        <w:t xml:space="preserve"> las entidades de gobierno central y gobierno</w:t>
      </w:r>
      <w:r w:rsidR="00F23AEC">
        <w:t>s</w:t>
      </w:r>
      <w:r>
        <w:t xml:space="preserve"> local</w:t>
      </w:r>
      <w:r w:rsidR="00F23AEC">
        <w:t>es</w:t>
      </w:r>
      <w:r>
        <w:t xml:space="preserve"> acorde a la temporalidad con que estas entidades realiza</w:t>
      </w:r>
      <w:r w:rsidR="00DA248F">
        <w:t>ron</w:t>
      </w:r>
      <w:r>
        <w:t xml:space="preserve"> su planeación estratégica</w:t>
      </w:r>
      <w:r w:rsidR="00F23AEC">
        <w:t xml:space="preserve"> y operativa</w:t>
      </w:r>
      <w:r>
        <w:t xml:space="preserve"> para </w:t>
      </w:r>
      <w:r w:rsidR="00DA248F">
        <w:t>vincular</w:t>
      </w:r>
      <w:r>
        <w:t xml:space="preserve"> su</w:t>
      </w:r>
      <w:r w:rsidR="00F23AEC">
        <w:t>s estructuras presupuestarias</w:t>
      </w:r>
      <w:r>
        <w:t xml:space="preserve"> al CPEG.</w:t>
      </w:r>
    </w:p>
    <w:p w14:paraId="115138F0" w14:textId="740202F6" w:rsidR="003D4713" w:rsidRDefault="003D4713" w:rsidP="00A6696A">
      <w:pPr>
        <w:shd w:val="clear" w:color="auto" w:fill="FFFFFF"/>
        <w:spacing w:after="0" w:line="360" w:lineRule="auto"/>
        <w:jc w:val="both"/>
      </w:pPr>
    </w:p>
    <w:p w14:paraId="4AE50046" w14:textId="3169834C" w:rsidR="003F61DC" w:rsidRPr="007F27E4" w:rsidRDefault="003F61DC" w:rsidP="003F61DC">
      <w:pPr>
        <w:shd w:val="clear" w:color="auto" w:fill="FFFFFF"/>
        <w:spacing w:after="0" w:line="360" w:lineRule="auto"/>
        <w:jc w:val="both"/>
        <w:rPr>
          <w:strike/>
          <w:color w:val="FF0000"/>
        </w:rPr>
      </w:pPr>
      <w:r>
        <w:t xml:space="preserve">Para las entidades de gobierno central, Seprem </w:t>
      </w:r>
      <w:r w:rsidRPr="003F61DC">
        <w:t>brind</w:t>
      </w:r>
      <w:r>
        <w:t>ó</w:t>
      </w:r>
      <w:r w:rsidRPr="003F61DC">
        <w:t xml:space="preserve"> transferencias </w:t>
      </w:r>
      <w:r w:rsidR="00B33683" w:rsidRPr="003F61DC">
        <w:t>metodológicas</w:t>
      </w:r>
      <w:r w:rsidR="00B33683">
        <w:t>,</w:t>
      </w:r>
      <w:r w:rsidR="0071195A">
        <w:t xml:space="preserve"> a las 103 entidades </w:t>
      </w:r>
      <w:r w:rsidR="00A148DC">
        <w:t>establecidas en</w:t>
      </w:r>
      <w:r w:rsidR="00F23AEC">
        <w:t xml:space="preserve"> el </w:t>
      </w:r>
      <w:r w:rsidR="0071195A">
        <w:t>Plan Estratégico Institucional 2021 – 2025,</w:t>
      </w:r>
      <w:r w:rsidRPr="003F61DC">
        <w:t xml:space="preserve"> a través de </w:t>
      </w:r>
      <w:r w:rsidR="00F23AEC">
        <w:t xml:space="preserve">5 </w:t>
      </w:r>
      <w:r w:rsidRPr="003F61DC">
        <w:t xml:space="preserve">talleres desarrollados en los meses de marzo </w:t>
      </w:r>
      <w:r>
        <w:t xml:space="preserve">y abril y un taller en junio, para aquellas entidades que no pudieron asistir a las primeras </w:t>
      </w:r>
      <w:r w:rsidRPr="003F61DC">
        <w:t xml:space="preserve">convocatorias.  </w:t>
      </w:r>
    </w:p>
    <w:p w14:paraId="4E484B48" w14:textId="77777777" w:rsidR="003F61DC" w:rsidRDefault="003F61DC" w:rsidP="003F61DC">
      <w:pPr>
        <w:shd w:val="clear" w:color="auto" w:fill="FFFFFF"/>
        <w:spacing w:after="0" w:line="360" w:lineRule="auto"/>
        <w:jc w:val="both"/>
      </w:pPr>
    </w:p>
    <w:p w14:paraId="2A856DD0" w14:textId="08C91113" w:rsidR="001018F4" w:rsidRDefault="00FB511B" w:rsidP="003F61DC">
      <w:pPr>
        <w:shd w:val="clear" w:color="auto" w:fill="FFFFFF"/>
        <w:spacing w:after="0" w:line="360" w:lineRule="auto"/>
        <w:jc w:val="both"/>
      </w:pPr>
      <w:r w:rsidRPr="00FB511B">
        <w:lastRenderedPageBreak/>
        <w:t xml:space="preserve">Para los gobiernos locales, las delegadas departamentales </w:t>
      </w:r>
      <w:r>
        <w:t xml:space="preserve">de Seprem </w:t>
      </w:r>
      <w:r w:rsidRPr="00FB511B">
        <w:t>inicia</w:t>
      </w:r>
      <w:r w:rsidR="00492549">
        <w:t>ron</w:t>
      </w:r>
      <w:r w:rsidRPr="00FB511B">
        <w:t xml:space="preserve"> la asistencia técnica a las Direcciones Técnicas Municipales (D</w:t>
      </w:r>
      <w:r w:rsidR="00D97945">
        <w:t xml:space="preserve">irección </w:t>
      </w:r>
      <w:r w:rsidRPr="00FB511B">
        <w:t>M</w:t>
      </w:r>
      <w:r w:rsidR="00D97945">
        <w:t xml:space="preserve">unicipal de la </w:t>
      </w:r>
      <w:r w:rsidRPr="00FB511B">
        <w:t>M</w:t>
      </w:r>
      <w:r w:rsidR="00D97945">
        <w:t>ujer</w:t>
      </w:r>
      <w:r w:rsidR="00F4359C">
        <w:t>- DMM</w:t>
      </w:r>
      <w:r w:rsidRPr="00FB511B">
        <w:t>,</w:t>
      </w:r>
      <w:r w:rsidR="00492549">
        <w:t xml:space="preserve"> </w:t>
      </w:r>
      <w:r w:rsidR="00D97945">
        <w:t>Dirección Municipal de Planificación</w:t>
      </w:r>
      <w:r w:rsidR="00F4359C">
        <w:t xml:space="preserve"> - DMP</w:t>
      </w:r>
      <w:r w:rsidR="00D97945">
        <w:t xml:space="preserve"> y </w:t>
      </w:r>
      <w:r w:rsidR="002928B5">
        <w:rPr>
          <w:rFonts w:ascii="Segoe UI" w:hAnsi="Segoe UI" w:cs="Segoe UI"/>
          <w:color w:val="000000"/>
          <w:sz w:val="20"/>
          <w:szCs w:val="20"/>
        </w:rPr>
        <w:t xml:space="preserve">Dirección Administrativa Financiera Municipal -DAFIN- </w:t>
      </w:r>
      <w:r w:rsidRPr="00FB511B">
        <w:t>desde el mes de enero, realizando un proceso de seguimiento a la ficha de gasto del ejercicio fiscal 2021, lo cual permit</w:t>
      </w:r>
      <w:r w:rsidR="00492549">
        <w:t>ió</w:t>
      </w:r>
      <w:r w:rsidRPr="00FB511B">
        <w:t xml:space="preserve"> identificar las estructuras programáticas vinculadas al CPEG por cada una de las municipalidades y realizar la asesoría en la utilización de la herramienta del clasificador</w:t>
      </w:r>
      <w:r w:rsidR="00492549">
        <w:t>.</w:t>
      </w:r>
      <w:r w:rsidRPr="00FB511B">
        <w:t xml:space="preserve"> </w:t>
      </w:r>
    </w:p>
    <w:p w14:paraId="351A4062" w14:textId="77777777" w:rsidR="001018F4" w:rsidRDefault="001018F4" w:rsidP="003F61DC">
      <w:pPr>
        <w:shd w:val="clear" w:color="auto" w:fill="FFFFFF"/>
        <w:spacing w:after="0" w:line="360" w:lineRule="auto"/>
        <w:jc w:val="both"/>
      </w:pPr>
    </w:p>
    <w:p w14:paraId="0C679AEE" w14:textId="1724E1A2" w:rsidR="003F61DC" w:rsidRPr="003177D8" w:rsidRDefault="00663FD0" w:rsidP="001018F4">
      <w:pPr>
        <w:shd w:val="clear" w:color="auto" w:fill="FFFFFF"/>
        <w:spacing w:after="0" w:line="360" w:lineRule="auto"/>
        <w:jc w:val="both"/>
      </w:pPr>
      <w:r>
        <w:t xml:space="preserve">Con este </w:t>
      </w:r>
      <w:r w:rsidR="00A148DC">
        <w:t xml:space="preserve">propósito, </w:t>
      </w:r>
      <w:r w:rsidR="00A148DC" w:rsidRPr="001018F4">
        <w:t>se</w:t>
      </w:r>
      <w:r w:rsidR="001018F4" w:rsidRPr="001018F4">
        <w:t xml:space="preserve"> llev</w:t>
      </w:r>
      <w:r w:rsidR="005F0564">
        <w:t>aron</w:t>
      </w:r>
      <w:r w:rsidR="001018F4" w:rsidRPr="001018F4">
        <w:t xml:space="preserve"> a cabo </w:t>
      </w:r>
      <w:r w:rsidR="008B2B97">
        <w:t>las siguientes actividades durante el período de enero a junio del 2021:</w:t>
      </w:r>
      <w:r w:rsidR="003F61DC" w:rsidRPr="003177D8">
        <w:t xml:space="preserve"> </w:t>
      </w:r>
    </w:p>
    <w:p w14:paraId="654FD0B9" w14:textId="77777777" w:rsidR="008B2B97" w:rsidRPr="008B2B97" w:rsidRDefault="008B2B97" w:rsidP="008B2B97">
      <w:r w:rsidRPr="008B2B97">
        <w:t xml:space="preserve">Nivel central: </w:t>
      </w:r>
    </w:p>
    <w:p w14:paraId="420725E5" w14:textId="77777777" w:rsidR="008B2B97" w:rsidRDefault="008B2B97" w:rsidP="008B2B97">
      <w:pPr>
        <w:pStyle w:val="Prrafodelista"/>
        <w:numPr>
          <w:ilvl w:val="0"/>
          <w:numId w:val="16"/>
        </w:numPr>
        <w:spacing w:after="200" w:line="276" w:lineRule="auto"/>
      </w:pPr>
      <w:r>
        <w:t>Se asesoró a 95 instituciones públicas</w:t>
      </w:r>
    </w:p>
    <w:p w14:paraId="2745901E" w14:textId="77777777" w:rsidR="008B2B97" w:rsidRDefault="008B2B97" w:rsidP="008B2B97">
      <w:pPr>
        <w:pStyle w:val="Prrafodelista"/>
        <w:numPr>
          <w:ilvl w:val="0"/>
          <w:numId w:val="16"/>
        </w:numPr>
        <w:spacing w:after="200" w:line="276" w:lineRule="auto"/>
      </w:pPr>
      <w:r>
        <w:t>6 talleres de transferencias metodológicas</w:t>
      </w:r>
    </w:p>
    <w:p w14:paraId="32B6A524" w14:textId="77777777" w:rsidR="008B2B97" w:rsidRDefault="008B2B97" w:rsidP="008B2B97">
      <w:pPr>
        <w:pStyle w:val="Prrafodelista"/>
        <w:numPr>
          <w:ilvl w:val="0"/>
          <w:numId w:val="16"/>
        </w:numPr>
        <w:spacing w:after="200" w:line="276" w:lineRule="auto"/>
      </w:pPr>
      <w:r>
        <w:t>7 asesorías técnicas.</w:t>
      </w:r>
    </w:p>
    <w:p w14:paraId="23EA328B" w14:textId="77777777" w:rsidR="008B2B97" w:rsidRDefault="008B2B97" w:rsidP="008B2B97">
      <w:pPr>
        <w:pStyle w:val="Prrafodelista"/>
        <w:numPr>
          <w:ilvl w:val="0"/>
          <w:numId w:val="16"/>
        </w:numPr>
        <w:spacing w:after="200" w:line="276" w:lineRule="auto"/>
      </w:pPr>
      <w:r>
        <w:t xml:space="preserve">22 asistencias técnicas </w:t>
      </w:r>
    </w:p>
    <w:p w14:paraId="6AA1B784" w14:textId="77777777" w:rsidR="008B2B97" w:rsidRDefault="008B2B97" w:rsidP="008B2B97">
      <w:pPr>
        <w:pStyle w:val="Prrafodelista"/>
        <w:numPr>
          <w:ilvl w:val="0"/>
          <w:numId w:val="16"/>
        </w:numPr>
        <w:spacing w:after="200" w:line="276" w:lineRule="auto"/>
      </w:pPr>
      <w:r>
        <w:t>6 asistencias técnicas para análisis de estructuras presupuestarias.</w:t>
      </w:r>
    </w:p>
    <w:p w14:paraId="590A258F" w14:textId="77777777" w:rsidR="008B2B97" w:rsidRDefault="008B2B97" w:rsidP="008B2B97">
      <w:pPr>
        <w:pStyle w:val="Prrafodelista"/>
      </w:pPr>
    </w:p>
    <w:p w14:paraId="754FBA49" w14:textId="40B3529B" w:rsidR="008B2B97" w:rsidRPr="008B2B97" w:rsidRDefault="008B2B97" w:rsidP="008B2B97">
      <w:r w:rsidRPr="008B2B97">
        <w:t>A nivel de gobiernos locales:</w:t>
      </w:r>
    </w:p>
    <w:p w14:paraId="0EAA6C79" w14:textId="77777777" w:rsidR="008B2B97" w:rsidRDefault="008B2B97" w:rsidP="008B2B97">
      <w:pPr>
        <w:pStyle w:val="Prrafodelista"/>
        <w:numPr>
          <w:ilvl w:val="0"/>
          <w:numId w:val="17"/>
        </w:numPr>
        <w:spacing w:after="200" w:line="276" w:lineRule="auto"/>
      </w:pPr>
      <w:r>
        <w:t>Se asesoró a 223 municipalidades</w:t>
      </w:r>
    </w:p>
    <w:p w14:paraId="3B100B70" w14:textId="77777777" w:rsidR="008B2B97" w:rsidRPr="00D97025" w:rsidRDefault="008B2B97" w:rsidP="008B2B97">
      <w:pPr>
        <w:pStyle w:val="Prrafodelista"/>
        <w:numPr>
          <w:ilvl w:val="0"/>
          <w:numId w:val="17"/>
        </w:numPr>
        <w:spacing w:after="200" w:line="276" w:lineRule="auto"/>
      </w:pPr>
      <w:r w:rsidRPr="00D97025">
        <w:t>29 reuniones de acompañamiento a redes de DMM</w:t>
      </w:r>
    </w:p>
    <w:p w14:paraId="7193AB57" w14:textId="77777777" w:rsidR="008B2B97" w:rsidRDefault="008B2B97" w:rsidP="008B2B97">
      <w:pPr>
        <w:pStyle w:val="Prrafodelista"/>
        <w:numPr>
          <w:ilvl w:val="0"/>
          <w:numId w:val="17"/>
        </w:numPr>
        <w:spacing w:after="200" w:line="276" w:lineRule="auto"/>
      </w:pPr>
      <w:r>
        <w:t>52 reuniones de asesorías técnicas</w:t>
      </w:r>
    </w:p>
    <w:p w14:paraId="492118C6" w14:textId="77777777" w:rsidR="008B2B97" w:rsidRDefault="008B2B97" w:rsidP="008B2B97">
      <w:pPr>
        <w:pStyle w:val="Prrafodelista"/>
        <w:numPr>
          <w:ilvl w:val="0"/>
          <w:numId w:val="17"/>
        </w:numPr>
        <w:spacing w:after="200" w:line="276" w:lineRule="auto"/>
      </w:pPr>
      <w:r>
        <w:t>40 reuniones de asistencia técnica</w:t>
      </w:r>
    </w:p>
    <w:p w14:paraId="15C03AA0" w14:textId="77777777" w:rsidR="008B2B97" w:rsidRDefault="008B2B97" w:rsidP="008B2B97">
      <w:pPr>
        <w:pStyle w:val="Prrafodelista"/>
        <w:numPr>
          <w:ilvl w:val="0"/>
          <w:numId w:val="17"/>
        </w:numPr>
        <w:spacing w:after="200" w:line="276" w:lineRule="auto"/>
      </w:pPr>
      <w:r>
        <w:t>04 reuniones a municipios priorizados</w:t>
      </w:r>
    </w:p>
    <w:p w14:paraId="0A95C5AC" w14:textId="77777777" w:rsidR="008B2B97" w:rsidRDefault="008B2B97" w:rsidP="008B2B97">
      <w:pPr>
        <w:pStyle w:val="Prrafodelista"/>
        <w:numPr>
          <w:ilvl w:val="0"/>
          <w:numId w:val="17"/>
        </w:numPr>
        <w:spacing w:after="200" w:line="276" w:lineRule="auto"/>
      </w:pPr>
      <w:r>
        <w:t>4 reuniones de transferencias metodológicas</w:t>
      </w:r>
    </w:p>
    <w:p w14:paraId="2ECD1E25" w14:textId="77777777" w:rsidR="008B2B97" w:rsidRDefault="008B2B97" w:rsidP="008B2B97">
      <w:pPr>
        <w:pStyle w:val="Prrafodelista"/>
        <w:numPr>
          <w:ilvl w:val="0"/>
          <w:numId w:val="17"/>
        </w:numPr>
        <w:spacing w:after="200" w:line="276" w:lineRule="auto"/>
      </w:pPr>
      <w:r>
        <w:t>4 talleres de seguimiento de estrategia fronteriza, PNPDIM y CPEG articulado al enfoque de convencionalidad.</w:t>
      </w:r>
    </w:p>
    <w:p w14:paraId="0E0A2FEF" w14:textId="77777777" w:rsidR="008B2B97" w:rsidRDefault="008B2B97" w:rsidP="008B2B97">
      <w:pPr>
        <w:pStyle w:val="Prrafodelista"/>
        <w:numPr>
          <w:ilvl w:val="0"/>
          <w:numId w:val="17"/>
        </w:numPr>
        <w:spacing w:after="200" w:line="276" w:lineRule="auto"/>
      </w:pPr>
      <w:r>
        <w:t>11 reuniones de acompañamiento para el seguimiento de la PNPDIM, agendas estratégicas y prioridades.</w:t>
      </w:r>
    </w:p>
    <w:p w14:paraId="576ED098" w14:textId="77777777" w:rsidR="00246E7A" w:rsidRDefault="00246E7A" w:rsidP="00A6696A">
      <w:pPr>
        <w:shd w:val="clear" w:color="auto" w:fill="FFFFFF"/>
        <w:spacing w:after="0" w:line="360" w:lineRule="auto"/>
        <w:jc w:val="both"/>
      </w:pPr>
    </w:p>
    <w:p w14:paraId="050945A7" w14:textId="5C77CD23" w:rsidR="00E51E97" w:rsidRDefault="00246E7A" w:rsidP="00466504">
      <w:pPr>
        <w:shd w:val="clear" w:color="auto" w:fill="FFFFFF"/>
        <w:spacing w:after="0" w:line="360" w:lineRule="auto"/>
        <w:jc w:val="both"/>
      </w:pPr>
      <w:r>
        <w:t xml:space="preserve"> </w:t>
      </w:r>
    </w:p>
    <w:p w14:paraId="7B058E8E" w14:textId="77777777" w:rsidR="00E51E97" w:rsidRDefault="00E51E97">
      <w:r>
        <w:br w:type="page"/>
      </w:r>
    </w:p>
    <w:p w14:paraId="6396880B" w14:textId="68C08D39" w:rsidR="00DE68F3" w:rsidRPr="00241AAE" w:rsidRDefault="00DE68F3" w:rsidP="005C28D3">
      <w:pPr>
        <w:pStyle w:val="Ttulo1"/>
        <w:spacing w:before="0" w:line="360" w:lineRule="auto"/>
      </w:pPr>
      <w:bookmarkStart w:id="6" w:name="_Toc97558444"/>
      <w:bookmarkStart w:id="7" w:name="_Toc98759532"/>
      <w:r w:rsidRPr="00241AAE">
        <w:lastRenderedPageBreak/>
        <w:t>RESULTADOS</w:t>
      </w:r>
      <w:bookmarkEnd w:id="6"/>
      <w:bookmarkEnd w:id="7"/>
      <w:r w:rsidR="00963EE7" w:rsidRPr="00241AAE">
        <w:tab/>
      </w:r>
    </w:p>
    <w:p w14:paraId="4375C56C" w14:textId="77777777" w:rsidR="00241AAE" w:rsidRPr="005C28D3" w:rsidRDefault="00241AAE" w:rsidP="005C28D3">
      <w:pPr>
        <w:tabs>
          <w:tab w:val="left" w:pos="2190"/>
        </w:tabs>
        <w:spacing w:after="0" w:line="360" w:lineRule="auto"/>
        <w:rPr>
          <w:b/>
          <w:bCs/>
        </w:rPr>
      </w:pPr>
    </w:p>
    <w:p w14:paraId="0BBE2FA3" w14:textId="4D34CC55" w:rsidR="003E3F70" w:rsidRDefault="003E3F70" w:rsidP="003E3F70">
      <w:pPr>
        <w:spacing w:after="0" w:line="360" w:lineRule="auto"/>
        <w:jc w:val="both"/>
      </w:pPr>
      <w:r>
        <w:t xml:space="preserve">A continuación, se presenta el presupuesto </w:t>
      </w:r>
      <w:r w:rsidR="00732261">
        <w:t>asignado</w:t>
      </w:r>
      <w:r w:rsidR="0037446B">
        <w:t>, vigente</w:t>
      </w:r>
      <w:r w:rsidR="00732261">
        <w:t xml:space="preserve"> y</w:t>
      </w:r>
      <w:r w:rsidR="00D267AE">
        <w:t xml:space="preserve"> ejecutado </w:t>
      </w:r>
      <w:r>
        <w:t>al Clasificador Presupuestario con Enfoque de Género realizado por las instituciones de gobierno central y por los gobiernos locales. Se realiz</w:t>
      </w:r>
      <w:r w:rsidR="00095DF2">
        <w:t>ó</w:t>
      </w:r>
      <w:r>
        <w:t xml:space="preserve"> un análisis cuantitativo </w:t>
      </w:r>
      <w:r w:rsidR="001450E4">
        <w:t>d</w:t>
      </w:r>
      <w:r>
        <w:t xml:space="preserve">el presupuesto asignado a cada uno de los ejes de la Política Nacional de Promoción y Desarrollo Integral de las Mujeres. </w:t>
      </w:r>
    </w:p>
    <w:p w14:paraId="2A5EB683" w14:textId="77777777" w:rsidR="003E3F70" w:rsidRDefault="003E3F70" w:rsidP="003E3F70">
      <w:pPr>
        <w:spacing w:after="0" w:line="360" w:lineRule="auto"/>
        <w:jc w:val="both"/>
      </w:pPr>
    </w:p>
    <w:p w14:paraId="69863A50" w14:textId="2543EA1F" w:rsidR="00510EB0" w:rsidRDefault="00510EB0" w:rsidP="003E3F70">
      <w:pPr>
        <w:spacing w:after="0" w:line="360" w:lineRule="auto"/>
        <w:jc w:val="both"/>
        <w:rPr>
          <w:sz w:val="23"/>
          <w:szCs w:val="23"/>
        </w:rPr>
      </w:pPr>
      <w:r>
        <w:rPr>
          <w:sz w:val="23"/>
          <w:szCs w:val="23"/>
        </w:rPr>
        <w:t xml:space="preserve">El clasificador institucional organiza al Sector Público en Gobierno General y Empresas Públicas. Esta sectorización de las instituciones y unidades gubernamentales del Sector Público se basa, no sólo en los aspectos jurídicos de su constitución, sino también, en los aspectos económicos, presupuestarios y de relevancia estadística, que las hacen partícipes o copartícipes en la implementación de las políticas de Estado. </w:t>
      </w:r>
    </w:p>
    <w:p w14:paraId="6C89C40D" w14:textId="77777777" w:rsidR="00510EB0" w:rsidRDefault="00510EB0" w:rsidP="003E3F70">
      <w:pPr>
        <w:spacing w:after="0" w:line="360" w:lineRule="auto"/>
        <w:jc w:val="both"/>
        <w:rPr>
          <w:sz w:val="23"/>
          <w:szCs w:val="23"/>
        </w:rPr>
      </w:pPr>
    </w:p>
    <w:p w14:paraId="358E8BDB" w14:textId="611656E8" w:rsidR="0024496E" w:rsidRDefault="00510EB0" w:rsidP="003E3F70">
      <w:pPr>
        <w:spacing w:after="0" w:line="360" w:lineRule="auto"/>
        <w:jc w:val="both"/>
        <w:rPr>
          <w:sz w:val="23"/>
          <w:szCs w:val="23"/>
        </w:rPr>
      </w:pPr>
      <w:r>
        <w:rPr>
          <w:sz w:val="23"/>
          <w:szCs w:val="23"/>
        </w:rPr>
        <w:t>Para efectos de este informe se abord</w:t>
      </w:r>
      <w:r w:rsidR="00095DF2">
        <w:rPr>
          <w:sz w:val="23"/>
          <w:szCs w:val="23"/>
        </w:rPr>
        <w:t>ó</w:t>
      </w:r>
      <w:r>
        <w:rPr>
          <w:sz w:val="23"/>
          <w:szCs w:val="23"/>
        </w:rPr>
        <w:t xml:space="preserve"> </w:t>
      </w:r>
      <w:r w:rsidR="00674F10">
        <w:rPr>
          <w:sz w:val="23"/>
          <w:szCs w:val="23"/>
        </w:rPr>
        <w:t xml:space="preserve">el análisis del sector público de Gobierno General en </w:t>
      </w:r>
      <w:r w:rsidR="0024496E">
        <w:rPr>
          <w:sz w:val="23"/>
          <w:szCs w:val="23"/>
        </w:rPr>
        <w:t xml:space="preserve">dos tipos de instituciones, agrupándose de la siguiente forma: </w:t>
      </w:r>
    </w:p>
    <w:p w14:paraId="054F1E3D" w14:textId="77777777" w:rsidR="00C36FF0" w:rsidRDefault="00C36FF0" w:rsidP="003E3F70">
      <w:pPr>
        <w:spacing w:after="0" w:line="360" w:lineRule="auto"/>
        <w:jc w:val="both"/>
        <w:rPr>
          <w:sz w:val="23"/>
          <w:szCs w:val="23"/>
        </w:rPr>
      </w:pPr>
    </w:p>
    <w:p w14:paraId="01438424" w14:textId="098FC787" w:rsidR="002550B5" w:rsidRDefault="0024496E" w:rsidP="003034E2">
      <w:pPr>
        <w:pStyle w:val="Prrafodelista"/>
        <w:numPr>
          <w:ilvl w:val="0"/>
          <w:numId w:val="5"/>
        </w:numPr>
        <w:spacing w:after="0" w:line="360" w:lineRule="auto"/>
        <w:jc w:val="both"/>
        <w:rPr>
          <w:sz w:val="23"/>
          <w:szCs w:val="23"/>
        </w:rPr>
      </w:pPr>
      <w:r w:rsidRPr="0024496E">
        <w:rPr>
          <w:sz w:val="23"/>
          <w:szCs w:val="23"/>
        </w:rPr>
        <w:t>Gobierno central</w:t>
      </w:r>
      <w:r w:rsidR="002550B5">
        <w:rPr>
          <w:sz w:val="23"/>
          <w:szCs w:val="23"/>
        </w:rPr>
        <w:t>:</w:t>
      </w:r>
      <w:r w:rsidR="003034E2">
        <w:rPr>
          <w:sz w:val="23"/>
          <w:szCs w:val="23"/>
        </w:rPr>
        <w:t xml:space="preserve"> </w:t>
      </w:r>
    </w:p>
    <w:p w14:paraId="62F538D4" w14:textId="3E77FDE0" w:rsidR="0024496E" w:rsidRDefault="0024496E" w:rsidP="0024496E">
      <w:pPr>
        <w:pStyle w:val="Prrafodelista"/>
        <w:numPr>
          <w:ilvl w:val="1"/>
          <w:numId w:val="5"/>
        </w:numPr>
        <w:spacing w:after="0" w:line="360" w:lineRule="auto"/>
        <w:jc w:val="both"/>
        <w:rPr>
          <w:sz w:val="23"/>
          <w:szCs w:val="23"/>
        </w:rPr>
      </w:pPr>
      <w:r>
        <w:rPr>
          <w:sz w:val="23"/>
          <w:szCs w:val="23"/>
        </w:rPr>
        <w:t>Administración central</w:t>
      </w:r>
      <w:r w:rsidR="00D86699">
        <w:rPr>
          <w:sz w:val="23"/>
          <w:szCs w:val="23"/>
        </w:rPr>
        <w:t xml:space="preserve"> (incluye </w:t>
      </w:r>
      <w:r w:rsidR="00BA7CEB">
        <w:rPr>
          <w:sz w:val="23"/>
          <w:szCs w:val="23"/>
        </w:rPr>
        <w:t>O</w:t>
      </w:r>
      <w:r w:rsidR="00D86699">
        <w:rPr>
          <w:sz w:val="23"/>
          <w:szCs w:val="23"/>
        </w:rPr>
        <w:t xml:space="preserve">rganismo </w:t>
      </w:r>
      <w:r w:rsidR="00BA7CEB">
        <w:rPr>
          <w:sz w:val="23"/>
          <w:szCs w:val="23"/>
        </w:rPr>
        <w:t>L</w:t>
      </w:r>
      <w:r w:rsidR="00D86699">
        <w:rPr>
          <w:sz w:val="23"/>
          <w:szCs w:val="23"/>
        </w:rPr>
        <w:t xml:space="preserve">egislativo, </w:t>
      </w:r>
      <w:r w:rsidR="00BA7CEB">
        <w:rPr>
          <w:sz w:val="23"/>
          <w:szCs w:val="23"/>
        </w:rPr>
        <w:t>O</w:t>
      </w:r>
      <w:r w:rsidR="00D86699">
        <w:rPr>
          <w:sz w:val="23"/>
          <w:szCs w:val="23"/>
        </w:rPr>
        <w:t xml:space="preserve">rganismo </w:t>
      </w:r>
      <w:r w:rsidR="00BA7CEB">
        <w:rPr>
          <w:sz w:val="23"/>
          <w:szCs w:val="23"/>
        </w:rPr>
        <w:t>J</w:t>
      </w:r>
      <w:r w:rsidR="00D86699">
        <w:rPr>
          <w:sz w:val="23"/>
          <w:szCs w:val="23"/>
        </w:rPr>
        <w:t>udicial, Presidencia, Ministerios de Estado, Secretaría</w:t>
      </w:r>
      <w:r w:rsidR="00095DF2">
        <w:rPr>
          <w:sz w:val="23"/>
          <w:szCs w:val="23"/>
        </w:rPr>
        <w:t>s</w:t>
      </w:r>
      <w:r w:rsidR="00D86699">
        <w:rPr>
          <w:sz w:val="23"/>
          <w:szCs w:val="23"/>
        </w:rPr>
        <w:t xml:space="preserve"> y otras dependencias del Ejecutivo, Órganos de control jurídico-administrativo, Órganos de Control Público)</w:t>
      </w:r>
      <w:r w:rsidR="002550B5">
        <w:rPr>
          <w:sz w:val="23"/>
          <w:szCs w:val="23"/>
        </w:rPr>
        <w:t xml:space="preserve">. </w:t>
      </w:r>
    </w:p>
    <w:p w14:paraId="3E883CEB" w14:textId="1D0E0850" w:rsidR="0024496E" w:rsidRPr="0024496E" w:rsidRDefault="0024496E" w:rsidP="0024496E">
      <w:pPr>
        <w:pStyle w:val="Prrafodelista"/>
        <w:numPr>
          <w:ilvl w:val="1"/>
          <w:numId w:val="5"/>
        </w:numPr>
        <w:spacing w:after="0" w:line="360" w:lineRule="auto"/>
        <w:jc w:val="both"/>
        <w:rPr>
          <w:sz w:val="23"/>
          <w:szCs w:val="23"/>
        </w:rPr>
      </w:pPr>
      <w:r>
        <w:rPr>
          <w:sz w:val="23"/>
          <w:szCs w:val="23"/>
        </w:rPr>
        <w:t>Entidades descentralizadas</w:t>
      </w:r>
      <w:r w:rsidR="001C37D0">
        <w:rPr>
          <w:sz w:val="23"/>
          <w:szCs w:val="23"/>
        </w:rPr>
        <w:t>, autónomas y de seguridad social.</w:t>
      </w:r>
    </w:p>
    <w:p w14:paraId="6092ACBA" w14:textId="75F955A0" w:rsidR="00D86699" w:rsidRPr="00D86699" w:rsidRDefault="0024496E" w:rsidP="00D86699">
      <w:pPr>
        <w:pStyle w:val="Prrafodelista"/>
        <w:numPr>
          <w:ilvl w:val="0"/>
          <w:numId w:val="5"/>
        </w:numPr>
        <w:spacing w:after="0" w:line="360" w:lineRule="auto"/>
        <w:jc w:val="both"/>
        <w:rPr>
          <w:sz w:val="23"/>
          <w:szCs w:val="23"/>
        </w:rPr>
      </w:pPr>
      <w:r w:rsidRPr="00D86699">
        <w:rPr>
          <w:sz w:val="23"/>
          <w:szCs w:val="23"/>
        </w:rPr>
        <w:t>Gobiernos locales</w:t>
      </w:r>
    </w:p>
    <w:p w14:paraId="63B70740" w14:textId="71D75728" w:rsidR="00E608B5" w:rsidRDefault="00D86699" w:rsidP="00D86699">
      <w:pPr>
        <w:pStyle w:val="Prrafodelista"/>
        <w:numPr>
          <w:ilvl w:val="1"/>
          <w:numId w:val="5"/>
        </w:numPr>
        <w:spacing w:after="0" w:line="360" w:lineRule="auto"/>
        <w:jc w:val="both"/>
      </w:pPr>
      <w:r>
        <w:t>Municipalidades según departamento</w:t>
      </w:r>
    </w:p>
    <w:p w14:paraId="6D37971C" w14:textId="7E5E123E" w:rsidR="0096011A" w:rsidRDefault="0096011A" w:rsidP="005F241C">
      <w:pPr>
        <w:spacing w:after="0" w:line="360" w:lineRule="auto"/>
        <w:jc w:val="both"/>
      </w:pPr>
    </w:p>
    <w:p w14:paraId="79EED6BF" w14:textId="3FB61853" w:rsidR="005F241C" w:rsidRDefault="005F241C" w:rsidP="005F241C">
      <w:pPr>
        <w:spacing w:after="0" w:line="360" w:lineRule="auto"/>
        <w:jc w:val="both"/>
      </w:pPr>
      <w:r>
        <w:t>Las entidades y unidades institucionales que conforman el Gobierno General constituyen las unidades productoras de bienes y servicios de la administración pública</w:t>
      </w:r>
      <w:r w:rsidR="002E40EB">
        <w:t>.</w:t>
      </w:r>
    </w:p>
    <w:p w14:paraId="55F1C03D" w14:textId="30F03F92" w:rsidR="000733A9" w:rsidRDefault="000733A9" w:rsidP="00153122">
      <w:pPr>
        <w:spacing w:after="0" w:line="360" w:lineRule="auto"/>
      </w:pPr>
    </w:p>
    <w:p w14:paraId="0BC3A320" w14:textId="77777777" w:rsidR="006225C7" w:rsidRDefault="006225C7" w:rsidP="00153122">
      <w:pPr>
        <w:spacing w:after="0" w:line="360" w:lineRule="auto"/>
      </w:pPr>
    </w:p>
    <w:p w14:paraId="6D9E7B33" w14:textId="0FBA4B78" w:rsidR="00563BF5" w:rsidRDefault="00563BF5" w:rsidP="00153122">
      <w:pPr>
        <w:pStyle w:val="Ttulo2"/>
        <w:spacing w:line="360" w:lineRule="auto"/>
      </w:pPr>
      <w:bookmarkStart w:id="8" w:name="_Toc97558445"/>
      <w:bookmarkStart w:id="9" w:name="_Toc98759533"/>
      <w:r>
        <w:lastRenderedPageBreak/>
        <w:t xml:space="preserve">INSTITUCIONES </w:t>
      </w:r>
      <w:r w:rsidR="00FE19A8">
        <w:t>PÚBLICAS</w:t>
      </w:r>
      <w:r>
        <w:t xml:space="preserve"> VINCULADAS AL CPEG</w:t>
      </w:r>
      <w:bookmarkEnd w:id="8"/>
      <w:bookmarkEnd w:id="9"/>
    </w:p>
    <w:p w14:paraId="2C92992E" w14:textId="3C0FADF9" w:rsidR="008301FB" w:rsidRDefault="005C28D3" w:rsidP="00E51E97">
      <w:pPr>
        <w:spacing w:after="0" w:line="360" w:lineRule="auto"/>
        <w:jc w:val="both"/>
      </w:pPr>
      <w:r>
        <w:t xml:space="preserve">La información sobre la vinculación de presupuesto al Clasificador Presupuestario con Enfoque de Género se presenta de manera diferenciada para instituciones de la administración central, entidades </w:t>
      </w:r>
      <w:r w:rsidR="00BA4D67">
        <w:t>desc</w:t>
      </w:r>
      <w:r>
        <w:t>entralizadas y gobiernos locales</w:t>
      </w:r>
      <w:r w:rsidR="00E801FC">
        <w:t>, realizándose un análisis comparativo posteriormente.</w:t>
      </w:r>
    </w:p>
    <w:p w14:paraId="05EC77AC" w14:textId="77777777" w:rsidR="00241AAE" w:rsidRDefault="00241AAE" w:rsidP="006225C7">
      <w:pPr>
        <w:tabs>
          <w:tab w:val="left" w:pos="2190"/>
        </w:tabs>
        <w:spacing w:after="0" w:line="360" w:lineRule="auto"/>
      </w:pPr>
    </w:p>
    <w:p w14:paraId="782DBB40" w14:textId="6EB727AF" w:rsidR="00563BF5" w:rsidRDefault="00563BF5" w:rsidP="00BA4D67">
      <w:pPr>
        <w:pStyle w:val="Ttulo3"/>
        <w:spacing w:line="360" w:lineRule="auto"/>
        <w:jc w:val="both"/>
      </w:pPr>
      <w:bookmarkStart w:id="10" w:name="_Toc97558446"/>
      <w:bookmarkStart w:id="11" w:name="_Toc98759534"/>
      <w:r w:rsidRPr="00241AAE">
        <w:t xml:space="preserve">VINCULACION DE LAS INSTITUCIONES DE ADMINISTRACION CENTRAL </w:t>
      </w:r>
      <w:r w:rsidR="00C2039E">
        <w:t xml:space="preserve">AL </w:t>
      </w:r>
      <w:r w:rsidR="00BA4D67">
        <w:t>CPEG</w:t>
      </w:r>
      <w:bookmarkEnd w:id="10"/>
      <w:bookmarkEnd w:id="11"/>
    </w:p>
    <w:p w14:paraId="67052A81" w14:textId="4554EB26" w:rsidR="00466504" w:rsidRDefault="00BA7CEB" w:rsidP="000F20FA">
      <w:pPr>
        <w:spacing w:after="0" w:line="360" w:lineRule="auto"/>
        <w:jc w:val="both"/>
      </w:pPr>
      <w:r>
        <w:t>E</w:t>
      </w:r>
      <w:r w:rsidR="00BA4D67">
        <w:t>n la Tabla 2</w:t>
      </w:r>
      <w:r w:rsidR="000F20FA">
        <w:t>, se presenta el presupuesto vinculado para el ejercicio fiscal 2021</w:t>
      </w:r>
      <w:r>
        <w:t>,</w:t>
      </w:r>
      <w:r w:rsidR="000F20FA">
        <w:t xml:space="preserve"> por las entidades centralizadas y</w:t>
      </w:r>
      <w:r>
        <w:t xml:space="preserve"> su correspondiente nivel </w:t>
      </w:r>
      <w:r w:rsidR="000F20FA">
        <w:t xml:space="preserve">de ejecución </w:t>
      </w:r>
      <w:r>
        <w:t xml:space="preserve">durante el </w:t>
      </w:r>
      <w:r w:rsidR="000F20FA">
        <w:t xml:space="preserve">primer. </w:t>
      </w:r>
    </w:p>
    <w:p w14:paraId="60D3B45C" w14:textId="29F7D961" w:rsidR="00064FC8" w:rsidRPr="00141E19" w:rsidRDefault="00064FC8" w:rsidP="00141E19">
      <w:pPr>
        <w:pStyle w:val="Tabla"/>
        <w:jc w:val="center"/>
        <w:rPr>
          <w:b/>
          <w:bCs/>
          <w:lang w:eastAsia="es-GT"/>
        </w:rPr>
      </w:pPr>
      <w:r w:rsidRPr="00141E19">
        <w:rPr>
          <w:b/>
          <w:bCs/>
          <w:lang w:eastAsia="es-GT"/>
        </w:rPr>
        <w:t>Tabla 2</w:t>
      </w:r>
    </w:p>
    <w:p w14:paraId="180FAAD9" w14:textId="5E864AD3" w:rsidR="00064FC8" w:rsidRPr="00337B99" w:rsidRDefault="00064FC8" w:rsidP="00337B99">
      <w:pPr>
        <w:spacing w:after="0" w:line="240" w:lineRule="auto"/>
        <w:jc w:val="center"/>
        <w:rPr>
          <w:rFonts w:ascii="Calibri" w:eastAsia="Times New Roman" w:hAnsi="Calibri" w:cs="Times New Roman"/>
          <w:b/>
          <w:bCs/>
          <w:color w:val="000000"/>
          <w:lang w:eastAsia="es-GT"/>
        </w:rPr>
      </w:pPr>
      <w:r w:rsidRPr="00337B99">
        <w:rPr>
          <w:rFonts w:ascii="Calibri" w:eastAsia="Times New Roman" w:hAnsi="Calibri" w:cs="Times New Roman"/>
          <w:b/>
          <w:bCs/>
          <w:color w:val="000000"/>
          <w:lang w:eastAsia="es-GT"/>
        </w:rPr>
        <w:t xml:space="preserve">Presupuesto Vinculado </w:t>
      </w:r>
      <w:r w:rsidR="00205B92" w:rsidRPr="00337B99">
        <w:rPr>
          <w:rFonts w:ascii="Calibri" w:eastAsia="Times New Roman" w:hAnsi="Calibri" w:cs="Times New Roman"/>
          <w:b/>
          <w:bCs/>
          <w:color w:val="000000"/>
          <w:lang w:eastAsia="es-GT"/>
        </w:rPr>
        <w:t>al CPEG</w:t>
      </w:r>
      <w:r w:rsidRPr="00337B99">
        <w:rPr>
          <w:rFonts w:ascii="Calibri" w:eastAsia="Times New Roman" w:hAnsi="Calibri" w:cs="Times New Roman"/>
          <w:b/>
          <w:bCs/>
          <w:color w:val="000000"/>
          <w:lang w:eastAsia="es-GT"/>
        </w:rPr>
        <w:t xml:space="preserve"> en el Primer Semestre 2021</w:t>
      </w:r>
    </w:p>
    <w:p w14:paraId="6B856983" w14:textId="58EE7499" w:rsidR="00563BF5" w:rsidRDefault="00064FC8" w:rsidP="00337B99">
      <w:pPr>
        <w:spacing w:after="0" w:line="240" w:lineRule="auto"/>
        <w:jc w:val="center"/>
        <w:rPr>
          <w:rFonts w:ascii="Calibri" w:eastAsia="Times New Roman" w:hAnsi="Calibri" w:cs="Times New Roman"/>
          <w:b/>
          <w:bCs/>
          <w:color w:val="000000"/>
          <w:lang w:eastAsia="es-GT"/>
        </w:rPr>
      </w:pPr>
      <w:r w:rsidRPr="00337B99">
        <w:rPr>
          <w:rFonts w:ascii="Calibri" w:eastAsia="Times New Roman" w:hAnsi="Calibri" w:cs="Times New Roman"/>
          <w:b/>
          <w:bCs/>
          <w:color w:val="000000"/>
          <w:lang w:eastAsia="es-GT"/>
        </w:rPr>
        <w:t xml:space="preserve">Instituciones </w:t>
      </w:r>
      <w:r w:rsidR="00FE19A8">
        <w:rPr>
          <w:rFonts w:ascii="Calibri" w:eastAsia="Times New Roman" w:hAnsi="Calibri" w:cs="Times New Roman"/>
          <w:b/>
          <w:bCs/>
          <w:color w:val="000000"/>
          <w:lang w:eastAsia="es-GT"/>
        </w:rPr>
        <w:t xml:space="preserve">centralizadas </w:t>
      </w:r>
      <w:r w:rsidR="001D6E57">
        <w:rPr>
          <w:rFonts w:ascii="Calibri" w:eastAsia="Times New Roman" w:hAnsi="Calibri" w:cs="Times New Roman"/>
          <w:b/>
          <w:bCs/>
          <w:color w:val="000000"/>
          <w:lang w:eastAsia="es-GT"/>
        </w:rPr>
        <w:t xml:space="preserve">de Gobierno </w:t>
      </w:r>
      <w:r w:rsidR="00693530">
        <w:rPr>
          <w:rFonts w:ascii="Calibri" w:eastAsia="Times New Roman" w:hAnsi="Calibri" w:cs="Times New Roman"/>
          <w:b/>
          <w:bCs/>
          <w:color w:val="000000"/>
          <w:lang w:eastAsia="es-GT"/>
        </w:rPr>
        <w:t>de Administración Central</w:t>
      </w:r>
    </w:p>
    <w:p w14:paraId="37BC079A" w14:textId="116E5096" w:rsidR="00154DA6" w:rsidRDefault="00154DA6" w:rsidP="00337B99">
      <w:pPr>
        <w:spacing w:after="0" w:line="240" w:lineRule="auto"/>
        <w:jc w:val="center"/>
        <w:rPr>
          <w:rFonts w:ascii="Calibri" w:eastAsia="Times New Roman" w:hAnsi="Calibri" w:cs="Times New Roman"/>
          <w:b/>
          <w:bCs/>
          <w:color w:val="000000"/>
          <w:lang w:eastAsia="es-GT"/>
        </w:rPr>
      </w:pPr>
    </w:p>
    <w:tbl>
      <w:tblPr>
        <w:tblW w:w="0" w:type="auto"/>
        <w:tblCellMar>
          <w:left w:w="70" w:type="dxa"/>
          <w:right w:w="70" w:type="dxa"/>
        </w:tblCellMar>
        <w:tblLook w:val="04A0" w:firstRow="1" w:lastRow="0" w:firstColumn="1" w:lastColumn="0" w:noHBand="0" w:noVBand="1"/>
      </w:tblPr>
      <w:tblGrid>
        <w:gridCol w:w="340"/>
        <w:gridCol w:w="3397"/>
        <w:gridCol w:w="705"/>
        <w:gridCol w:w="1170"/>
        <w:gridCol w:w="1170"/>
        <w:gridCol w:w="1170"/>
        <w:gridCol w:w="879"/>
      </w:tblGrid>
      <w:tr w:rsidR="00154DA6" w:rsidRPr="00124E1C" w14:paraId="38669FC1" w14:textId="77777777" w:rsidTr="004A5A03">
        <w:trPr>
          <w:trHeight w:val="352"/>
          <w:tblHeader/>
        </w:trPr>
        <w:tc>
          <w:tcPr>
            <w:tcW w:w="0" w:type="auto"/>
            <w:vMerge w:val="restart"/>
            <w:tcBorders>
              <w:top w:val="nil"/>
              <w:left w:val="nil"/>
              <w:bottom w:val="single" w:sz="4" w:space="0" w:color="auto"/>
              <w:right w:val="single" w:sz="4" w:space="0" w:color="auto"/>
            </w:tcBorders>
            <w:shd w:val="clear" w:color="000000" w:fill="1F4E78"/>
            <w:noWrap/>
            <w:vAlign w:val="center"/>
            <w:hideMark/>
          </w:tcPr>
          <w:p w14:paraId="49F10DC2" w14:textId="77777777" w:rsidR="00154DA6" w:rsidRPr="00124E1C" w:rsidRDefault="00154DA6" w:rsidP="00AD52FD">
            <w:pPr>
              <w:spacing w:after="0" w:line="240" w:lineRule="auto"/>
              <w:jc w:val="center"/>
              <w:rPr>
                <w:rFonts w:ascii="Calibri" w:eastAsia="Times New Roman" w:hAnsi="Calibri" w:cs="Times New Roman"/>
                <w:color w:val="FFFFFF"/>
                <w:sz w:val="14"/>
                <w:lang w:eastAsia="es-GT"/>
              </w:rPr>
            </w:pPr>
          </w:p>
          <w:p w14:paraId="3FA9A997" w14:textId="77777777" w:rsidR="00154DA6" w:rsidRPr="00124E1C" w:rsidRDefault="00154DA6" w:rsidP="00AD52FD">
            <w:pPr>
              <w:spacing w:after="0" w:line="240" w:lineRule="auto"/>
              <w:jc w:val="center"/>
              <w:rPr>
                <w:rFonts w:ascii="Calibri" w:eastAsia="Times New Roman" w:hAnsi="Calibri" w:cs="Times New Roman"/>
                <w:color w:val="FFFFFF"/>
                <w:sz w:val="14"/>
                <w:lang w:eastAsia="es-GT"/>
              </w:rPr>
            </w:pPr>
            <w:r w:rsidRPr="00124E1C">
              <w:rPr>
                <w:rFonts w:ascii="Calibri" w:eastAsia="Times New Roman" w:hAnsi="Calibri" w:cs="Times New Roman"/>
                <w:color w:val="FFFFFF"/>
                <w:sz w:val="14"/>
                <w:lang w:eastAsia="es-GT"/>
              </w:rPr>
              <w:t>No.</w:t>
            </w:r>
          </w:p>
        </w:tc>
        <w:tc>
          <w:tcPr>
            <w:tcW w:w="0" w:type="auto"/>
            <w:vMerge w:val="restart"/>
            <w:tcBorders>
              <w:top w:val="nil"/>
              <w:left w:val="single" w:sz="4" w:space="0" w:color="auto"/>
              <w:bottom w:val="single" w:sz="4" w:space="0" w:color="auto"/>
              <w:right w:val="single" w:sz="4" w:space="0" w:color="auto"/>
            </w:tcBorders>
            <w:shd w:val="clear" w:color="000000" w:fill="1F4E78"/>
            <w:noWrap/>
            <w:vAlign w:val="center"/>
            <w:hideMark/>
          </w:tcPr>
          <w:p w14:paraId="6ADBCA30" w14:textId="77777777" w:rsidR="00154DA6" w:rsidRPr="00124E1C" w:rsidRDefault="00154DA6" w:rsidP="00AD52FD">
            <w:pPr>
              <w:spacing w:after="0" w:line="240" w:lineRule="auto"/>
              <w:jc w:val="center"/>
              <w:rPr>
                <w:rFonts w:ascii="Calibri" w:eastAsia="Times New Roman" w:hAnsi="Calibri" w:cs="Times New Roman"/>
                <w:color w:val="FFFFFF"/>
                <w:sz w:val="14"/>
                <w:lang w:eastAsia="es-GT"/>
              </w:rPr>
            </w:pPr>
            <w:r w:rsidRPr="00124E1C">
              <w:rPr>
                <w:rFonts w:ascii="Calibri" w:eastAsia="Times New Roman" w:hAnsi="Calibri" w:cs="Times New Roman"/>
                <w:color w:val="FFFFFF"/>
                <w:sz w:val="14"/>
                <w:lang w:eastAsia="es-GT"/>
              </w:rPr>
              <w:t>Institución</w:t>
            </w:r>
          </w:p>
        </w:tc>
        <w:tc>
          <w:tcPr>
            <w:tcW w:w="0" w:type="auto"/>
            <w:vMerge w:val="restart"/>
            <w:tcBorders>
              <w:top w:val="nil"/>
              <w:left w:val="single" w:sz="4" w:space="0" w:color="auto"/>
              <w:bottom w:val="single" w:sz="4" w:space="0" w:color="auto"/>
              <w:right w:val="single" w:sz="4" w:space="0" w:color="auto"/>
            </w:tcBorders>
            <w:shd w:val="clear" w:color="000000" w:fill="1F4E78"/>
            <w:noWrap/>
            <w:vAlign w:val="center"/>
            <w:hideMark/>
          </w:tcPr>
          <w:p w14:paraId="0CE88675" w14:textId="77777777" w:rsidR="00154DA6" w:rsidRPr="00124E1C" w:rsidRDefault="00154DA6" w:rsidP="00AD52FD">
            <w:pPr>
              <w:spacing w:after="0" w:line="240" w:lineRule="auto"/>
              <w:jc w:val="center"/>
              <w:rPr>
                <w:rFonts w:ascii="Calibri" w:eastAsia="Times New Roman" w:hAnsi="Calibri" w:cs="Times New Roman"/>
                <w:color w:val="FFFFFF"/>
                <w:sz w:val="14"/>
                <w:lang w:eastAsia="es-GT"/>
              </w:rPr>
            </w:pPr>
            <w:r w:rsidRPr="00124E1C">
              <w:rPr>
                <w:rFonts w:ascii="Calibri" w:eastAsia="Times New Roman" w:hAnsi="Calibri" w:cs="Times New Roman"/>
                <w:color w:val="FFFFFF"/>
                <w:sz w:val="14"/>
                <w:lang w:eastAsia="es-GT"/>
              </w:rPr>
              <w:t>Siglas</w:t>
            </w:r>
          </w:p>
        </w:tc>
        <w:tc>
          <w:tcPr>
            <w:tcW w:w="0" w:type="auto"/>
            <w:gridSpan w:val="4"/>
            <w:tcBorders>
              <w:top w:val="nil"/>
              <w:left w:val="nil"/>
              <w:bottom w:val="single" w:sz="4" w:space="0" w:color="auto"/>
              <w:right w:val="nil"/>
            </w:tcBorders>
            <w:shd w:val="clear" w:color="000000" w:fill="1F4E78"/>
            <w:noWrap/>
            <w:vAlign w:val="center"/>
            <w:hideMark/>
          </w:tcPr>
          <w:p w14:paraId="4F7AE316" w14:textId="77777777" w:rsidR="00154DA6" w:rsidRPr="00124E1C" w:rsidRDefault="00154DA6" w:rsidP="00AD52FD">
            <w:pPr>
              <w:spacing w:after="0" w:line="240" w:lineRule="auto"/>
              <w:jc w:val="center"/>
              <w:rPr>
                <w:rFonts w:ascii="Calibri" w:eastAsia="Times New Roman" w:hAnsi="Calibri" w:cs="Times New Roman"/>
                <w:color w:val="FFFFFF"/>
                <w:sz w:val="14"/>
                <w:lang w:eastAsia="es-GT"/>
              </w:rPr>
            </w:pPr>
            <w:r w:rsidRPr="00124E1C">
              <w:rPr>
                <w:rFonts w:ascii="Calibri" w:eastAsia="Times New Roman" w:hAnsi="Calibri" w:cs="Times New Roman"/>
                <w:color w:val="FFFFFF"/>
                <w:sz w:val="14"/>
                <w:lang w:eastAsia="es-GT"/>
              </w:rPr>
              <w:t>Presupuesto Vinculado</w:t>
            </w:r>
          </w:p>
        </w:tc>
      </w:tr>
      <w:tr w:rsidR="00154DA6" w:rsidRPr="00124E1C" w14:paraId="70618A62" w14:textId="77777777" w:rsidTr="004A5A03">
        <w:trPr>
          <w:trHeight w:val="458"/>
        </w:trPr>
        <w:tc>
          <w:tcPr>
            <w:tcW w:w="0" w:type="auto"/>
            <w:vMerge/>
            <w:tcBorders>
              <w:top w:val="nil"/>
              <w:left w:val="nil"/>
              <w:bottom w:val="single" w:sz="4" w:space="0" w:color="auto"/>
              <w:right w:val="single" w:sz="4" w:space="0" w:color="auto"/>
            </w:tcBorders>
            <w:vAlign w:val="center"/>
            <w:hideMark/>
          </w:tcPr>
          <w:p w14:paraId="540B8402" w14:textId="77777777" w:rsidR="00154DA6" w:rsidRPr="00124E1C" w:rsidRDefault="00154DA6" w:rsidP="00AD52FD">
            <w:pPr>
              <w:spacing w:after="0" w:line="240" w:lineRule="auto"/>
              <w:rPr>
                <w:rFonts w:ascii="Calibri" w:eastAsia="Times New Roman" w:hAnsi="Calibri" w:cs="Times New Roman"/>
                <w:color w:val="FFFFFF"/>
                <w:sz w:val="14"/>
                <w:lang w:eastAsia="es-GT"/>
              </w:rPr>
            </w:pPr>
          </w:p>
        </w:tc>
        <w:tc>
          <w:tcPr>
            <w:tcW w:w="0" w:type="auto"/>
            <w:vMerge/>
            <w:tcBorders>
              <w:top w:val="nil"/>
              <w:left w:val="single" w:sz="4" w:space="0" w:color="auto"/>
              <w:bottom w:val="single" w:sz="4" w:space="0" w:color="auto"/>
              <w:right w:val="single" w:sz="4" w:space="0" w:color="auto"/>
            </w:tcBorders>
            <w:vAlign w:val="center"/>
            <w:hideMark/>
          </w:tcPr>
          <w:p w14:paraId="58D412D9" w14:textId="77777777" w:rsidR="00154DA6" w:rsidRPr="00124E1C" w:rsidRDefault="00154DA6" w:rsidP="00AD52FD">
            <w:pPr>
              <w:spacing w:after="0" w:line="240" w:lineRule="auto"/>
              <w:rPr>
                <w:rFonts w:ascii="Calibri" w:eastAsia="Times New Roman" w:hAnsi="Calibri" w:cs="Times New Roman"/>
                <w:color w:val="FFFFFF"/>
                <w:sz w:val="14"/>
                <w:lang w:eastAsia="es-GT"/>
              </w:rPr>
            </w:pPr>
          </w:p>
        </w:tc>
        <w:tc>
          <w:tcPr>
            <w:tcW w:w="0" w:type="auto"/>
            <w:vMerge/>
            <w:tcBorders>
              <w:top w:val="nil"/>
              <w:left w:val="single" w:sz="4" w:space="0" w:color="auto"/>
              <w:bottom w:val="single" w:sz="4" w:space="0" w:color="auto"/>
              <w:right w:val="single" w:sz="4" w:space="0" w:color="auto"/>
            </w:tcBorders>
            <w:vAlign w:val="center"/>
            <w:hideMark/>
          </w:tcPr>
          <w:p w14:paraId="5AE3EBAB" w14:textId="77777777" w:rsidR="00154DA6" w:rsidRPr="00124E1C" w:rsidRDefault="00154DA6" w:rsidP="00AD52FD">
            <w:pPr>
              <w:spacing w:after="0" w:line="240" w:lineRule="auto"/>
              <w:rPr>
                <w:rFonts w:ascii="Calibri" w:eastAsia="Times New Roman" w:hAnsi="Calibri" w:cs="Times New Roman"/>
                <w:color w:val="FFFFFF"/>
                <w:sz w:val="14"/>
                <w:lang w:eastAsia="es-GT"/>
              </w:rPr>
            </w:pPr>
          </w:p>
        </w:tc>
        <w:tc>
          <w:tcPr>
            <w:tcW w:w="0" w:type="auto"/>
            <w:tcBorders>
              <w:top w:val="nil"/>
              <w:left w:val="single" w:sz="4" w:space="0" w:color="auto"/>
              <w:bottom w:val="nil"/>
              <w:right w:val="nil"/>
            </w:tcBorders>
            <w:shd w:val="clear" w:color="000000" w:fill="1F4E78"/>
            <w:noWrap/>
            <w:vAlign w:val="center"/>
            <w:hideMark/>
          </w:tcPr>
          <w:p w14:paraId="74D4DAFB" w14:textId="77777777" w:rsidR="00154DA6" w:rsidRPr="00124E1C" w:rsidRDefault="00154DA6" w:rsidP="00AD52FD">
            <w:pPr>
              <w:spacing w:after="0" w:line="240" w:lineRule="auto"/>
              <w:jc w:val="center"/>
              <w:rPr>
                <w:rFonts w:ascii="Calibri" w:eastAsia="Times New Roman" w:hAnsi="Calibri" w:cs="Times New Roman"/>
                <w:color w:val="FFFFFF"/>
                <w:sz w:val="14"/>
                <w:lang w:eastAsia="es-GT"/>
              </w:rPr>
            </w:pPr>
            <w:r w:rsidRPr="00124E1C">
              <w:rPr>
                <w:rFonts w:ascii="Calibri" w:eastAsia="Times New Roman" w:hAnsi="Calibri" w:cs="Times New Roman"/>
                <w:color w:val="FFFFFF"/>
                <w:sz w:val="14"/>
                <w:lang w:eastAsia="es-GT"/>
              </w:rPr>
              <w:t>Asignado</w:t>
            </w:r>
          </w:p>
        </w:tc>
        <w:tc>
          <w:tcPr>
            <w:tcW w:w="0" w:type="auto"/>
            <w:tcBorders>
              <w:top w:val="single" w:sz="4" w:space="0" w:color="auto"/>
              <w:left w:val="single" w:sz="4" w:space="0" w:color="auto"/>
              <w:bottom w:val="nil"/>
              <w:right w:val="single" w:sz="4" w:space="0" w:color="auto"/>
            </w:tcBorders>
            <w:shd w:val="clear" w:color="000000" w:fill="1F4E78"/>
            <w:noWrap/>
            <w:vAlign w:val="center"/>
            <w:hideMark/>
          </w:tcPr>
          <w:p w14:paraId="24E1C38D" w14:textId="77777777" w:rsidR="00154DA6" w:rsidRPr="00124E1C" w:rsidRDefault="00154DA6" w:rsidP="00AD52FD">
            <w:pPr>
              <w:spacing w:after="0" w:line="240" w:lineRule="auto"/>
              <w:jc w:val="center"/>
              <w:rPr>
                <w:rFonts w:ascii="Calibri" w:eastAsia="Times New Roman" w:hAnsi="Calibri" w:cs="Times New Roman"/>
                <w:color w:val="FFFFFF"/>
                <w:sz w:val="14"/>
                <w:lang w:eastAsia="es-GT"/>
              </w:rPr>
            </w:pPr>
            <w:r w:rsidRPr="00124E1C">
              <w:rPr>
                <w:rFonts w:ascii="Calibri" w:eastAsia="Times New Roman" w:hAnsi="Calibri" w:cs="Times New Roman"/>
                <w:color w:val="FFFFFF"/>
                <w:sz w:val="14"/>
                <w:lang w:eastAsia="es-GT"/>
              </w:rPr>
              <w:t>Vigente</w:t>
            </w:r>
          </w:p>
        </w:tc>
        <w:tc>
          <w:tcPr>
            <w:tcW w:w="0" w:type="auto"/>
            <w:tcBorders>
              <w:top w:val="nil"/>
              <w:left w:val="single" w:sz="4" w:space="0" w:color="auto"/>
              <w:bottom w:val="nil"/>
              <w:right w:val="nil"/>
            </w:tcBorders>
            <w:shd w:val="clear" w:color="000000" w:fill="1F4E78"/>
            <w:noWrap/>
            <w:vAlign w:val="center"/>
            <w:hideMark/>
          </w:tcPr>
          <w:p w14:paraId="0417AF26" w14:textId="77777777" w:rsidR="00154DA6" w:rsidRPr="00124E1C" w:rsidRDefault="00154DA6" w:rsidP="00AD52FD">
            <w:pPr>
              <w:spacing w:after="0" w:line="240" w:lineRule="auto"/>
              <w:jc w:val="center"/>
              <w:rPr>
                <w:rFonts w:ascii="Calibri" w:eastAsia="Times New Roman" w:hAnsi="Calibri" w:cs="Times New Roman"/>
                <w:color w:val="FFFFFF"/>
                <w:sz w:val="14"/>
                <w:lang w:eastAsia="es-GT"/>
              </w:rPr>
            </w:pPr>
            <w:r w:rsidRPr="00124E1C">
              <w:rPr>
                <w:rFonts w:ascii="Calibri" w:eastAsia="Times New Roman" w:hAnsi="Calibri" w:cs="Times New Roman"/>
                <w:color w:val="FFFFFF"/>
                <w:sz w:val="14"/>
                <w:lang w:eastAsia="es-GT"/>
              </w:rPr>
              <w:t>Devengado</w:t>
            </w:r>
          </w:p>
        </w:tc>
        <w:tc>
          <w:tcPr>
            <w:tcW w:w="0" w:type="auto"/>
            <w:tcBorders>
              <w:top w:val="nil"/>
              <w:left w:val="single" w:sz="4" w:space="0" w:color="auto"/>
              <w:bottom w:val="nil"/>
              <w:right w:val="nil"/>
            </w:tcBorders>
            <w:shd w:val="clear" w:color="000000" w:fill="1F4E78"/>
            <w:vAlign w:val="center"/>
            <w:hideMark/>
          </w:tcPr>
          <w:p w14:paraId="1BA6FDC1" w14:textId="77777777" w:rsidR="00154DA6" w:rsidRPr="00124E1C" w:rsidRDefault="00154DA6" w:rsidP="00AD52FD">
            <w:pPr>
              <w:spacing w:after="0" w:line="240" w:lineRule="auto"/>
              <w:jc w:val="center"/>
              <w:rPr>
                <w:rFonts w:ascii="Calibri" w:eastAsia="Times New Roman" w:hAnsi="Calibri" w:cs="Times New Roman"/>
                <w:color w:val="FFFFFF"/>
                <w:sz w:val="14"/>
                <w:lang w:eastAsia="es-GT"/>
              </w:rPr>
            </w:pPr>
            <w:r w:rsidRPr="00124E1C">
              <w:rPr>
                <w:rFonts w:ascii="Calibri" w:eastAsia="Times New Roman" w:hAnsi="Calibri" w:cs="Times New Roman"/>
                <w:color w:val="FFFFFF"/>
                <w:sz w:val="14"/>
                <w:lang w:eastAsia="es-GT"/>
              </w:rPr>
              <w:t>%   Ejecución</w:t>
            </w:r>
          </w:p>
        </w:tc>
      </w:tr>
      <w:tr w:rsidR="00154DA6" w:rsidRPr="00124E1C" w14:paraId="6AFF1ED8" w14:textId="77777777" w:rsidTr="004A5A03">
        <w:trPr>
          <w:trHeight w:val="4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06D76C"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8333F5"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Ministerio de Agricultura, Ganadería y Alimentación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6D2329"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MAGA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EA979D"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1,463,251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C732F6"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24,916,261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FAC170"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11,768,235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DBB6C3"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48%</w:t>
            </w:r>
          </w:p>
        </w:tc>
      </w:tr>
      <w:tr w:rsidR="00154DA6" w:rsidRPr="00124E1C" w14:paraId="571285FB"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4F33A9"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2</w:t>
            </w:r>
          </w:p>
        </w:tc>
        <w:tc>
          <w:tcPr>
            <w:tcW w:w="0" w:type="auto"/>
            <w:tcBorders>
              <w:top w:val="nil"/>
              <w:left w:val="nil"/>
              <w:bottom w:val="single" w:sz="4" w:space="0" w:color="auto"/>
              <w:right w:val="single" w:sz="4" w:space="0" w:color="auto"/>
            </w:tcBorders>
            <w:shd w:val="clear" w:color="auto" w:fill="auto"/>
            <w:vAlign w:val="center"/>
            <w:hideMark/>
          </w:tcPr>
          <w:p w14:paraId="717DC983"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Ministerio de Ambiente y Recurso Naturales</w:t>
            </w:r>
          </w:p>
        </w:tc>
        <w:tc>
          <w:tcPr>
            <w:tcW w:w="0" w:type="auto"/>
            <w:tcBorders>
              <w:top w:val="nil"/>
              <w:left w:val="nil"/>
              <w:bottom w:val="single" w:sz="4" w:space="0" w:color="auto"/>
              <w:right w:val="single" w:sz="4" w:space="0" w:color="auto"/>
            </w:tcBorders>
            <w:shd w:val="clear" w:color="auto" w:fill="auto"/>
            <w:noWrap/>
            <w:vAlign w:val="center"/>
            <w:hideMark/>
          </w:tcPr>
          <w:p w14:paraId="01A88EBF"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MARN</w:t>
            </w:r>
          </w:p>
        </w:tc>
        <w:tc>
          <w:tcPr>
            <w:tcW w:w="0" w:type="auto"/>
            <w:tcBorders>
              <w:top w:val="nil"/>
              <w:left w:val="nil"/>
              <w:bottom w:val="single" w:sz="4" w:space="0" w:color="auto"/>
              <w:right w:val="single" w:sz="4" w:space="0" w:color="auto"/>
            </w:tcBorders>
            <w:shd w:val="clear" w:color="auto" w:fill="auto"/>
            <w:vAlign w:val="center"/>
            <w:hideMark/>
          </w:tcPr>
          <w:p w14:paraId="3A78D515"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1,429,958 </w:t>
            </w:r>
          </w:p>
        </w:tc>
        <w:tc>
          <w:tcPr>
            <w:tcW w:w="0" w:type="auto"/>
            <w:tcBorders>
              <w:top w:val="nil"/>
              <w:left w:val="nil"/>
              <w:bottom w:val="single" w:sz="4" w:space="0" w:color="auto"/>
              <w:right w:val="single" w:sz="4" w:space="0" w:color="auto"/>
            </w:tcBorders>
            <w:shd w:val="clear" w:color="auto" w:fill="auto"/>
            <w:vAlign w:val="center"/>
            <w:hideMark/>
          </w:tcPr>
          <w:p w14:paraId="48935A1A"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941,282 </w:t>
            </w:r>
          </w:p>
        </w:tc>
        <w:tc>
          <w:tcPr>
            <w:tcW w:w="0" w:type="auto"/>
            <w:tcBorders>
              <w:top w:val="nil"/>
              <w:left w:val="nil"/>
              <w:bottom w:val="single" w:sz="4" w:space="0" w:color="auto"/>
              <w:right w:val="single" w:sz="4" w:space="0" w:color="auto"/>
            </w:tcBorders>
            <w:shd w:val="clear" w:color="auto" w:fill="auto"/>
            <w:vAlign w:val="center"/>
            <w:hideMark/>
          </w:tcPr>
          <w:p w14:paraId="57F463B9"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499,228 </w:t>
            </w:r>
          </w:p>
        </w:tc>
        <w:tc>
          <w:tcPr>
            <w:tcW w:w="0" w:type="auto"/>
            <w:tcBorders>
              <w:top w:val="nil"/>
              <w:left w:val="nil"/>
              <w:bottom w:val="single" w:sz="4" w:space="0" w:color="auto"/>
              <w:right w:val="single" w:sz="4" w:space="0" w:color="auto"/>
            </w:tcBorders>
            <w:shd w:val="clear" w:color="auto" w:fill="auto"/>
            <w:vAlign w:val="center"/>
            <w:hideMark/>
          </w:tcPr>
          <w:p w14:paraId="55A28699"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48%</w:t>
            </w:r>
          </w:p>
        </w:tc>
      </w:tr>
      <w:tr w:rsidR="00154DA6" w:rsidRPr="00124E1C" w14:paraId="4344A47B"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AAC552"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3</w:t>
            </w:r>
          </w:p>
        </w:tc>
        <w:tc>
          <w:tcPr>
            <w:tcW w:w="0" w:type="auto"/>
            <w:tcBorders>
              <w:top w:val="nil"/>
              <w:left w:val="nil"/>
              <w:bottom w:val="single" w:sz="4" w:space="0" w:color="auto"/>
              <w:right w:val="single" w:sz="4" w:space="0" w:color="auto"/>
            </w:tcBorders>
            <w:shd w:val="clear" w:color="auto" w:fill="auto"/>
            <w:vAlign w:val="center"/>
            <w:hideMark/>
          </w:tcPr>
          <w:p w14:paraId="3E60E482"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Ministerio de Cultura y Deportes</w:t>
            </w:r>
          </w:p>
        </w:tc>
        <w:tc>
          <w:tcPr>
            <w:tcW w:w="0" w:type="auto"/>
            <w:tcBorders>
              <w:top w:val="nil"/>
              <w:left w:val="nil"/>
              <w:bottom w:val="single" w:sz="4" w:space="0" w:color="auto"/>
              <w:right w:val="single" w:sz="4" w:space="0" w:color="auto"/>
            </w:tcBorders>
            <w:shd w:val="clear" w:color="auto" w:fill="auto"/>
            <w:noWrap/>
            <w:vAlign w:val="center"/>
            <w:hideMark/>
          </w:tcPr>
          <w:p w14:paraId="262B23AC"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MCD</w:t>
            </w:r>
          </w:p>
        </w:tc>
        <w:tc>
          <w:tcPr>
            <w:tcW w:w="0" w:type="auto"/>
            <w:tcBorders>
              <w:top w:val="nil"/>
              <w:left w:val="nil"/>
              <w:bottom w:val="single" w:sz="4" w:space="0" w:color="auto"/>
              <w:right w:val="single" w:sz="4" w:space="0" w:color="auto"/>
            </w:tcBorders>
            <w:shd w:val="clear" w:color="auto" w:fill="auto"/>
            <w:vAlign w:val="center"/>
            <w:hideMark/>
          </w:tcPr>
          <w:p w14:paraId="60044C28"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31,097,932 </w:t>
            </w:r>
          </w:p>
        </w:tc>
        <w:tc>
          <w:tcPr>
            <w:tcW w:w="0" w:type="auto"/>
            <w:tcBorders>
              <w:top w:val="nil"/>
              <w:left w:val="nil"/>
              <w:bottom w:val="single" w:sz="4" w:space="0" w:color="auto"/>
              <w:right w:val="single" w:sz="4" w:space="0" w:color="auto"/>
            </w:tcBorders>
            <w:shd w:val="clear" w:color="auto" w:fill="auto"/>
            <w:vAlign w:val="center"/>
            <w:hideMark/>
          </w:tcPr>
          <w:p w14:paraId="1FEA9019"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32,402,727 </w:t>
            </w:r>
          </w:p>
        </w:tc>
        <w:tc>
          <w:tcPr>
            <w:tcW w:w="0" w:type="auto"/>
            <w:tcBorders>
              <w:top w:val="nil"/>
              <w:left w:val="nil"/>
              <w:bottom w:val="single" w:sz="4" w:space="0" w:color="auto"/>
              <w:right w:val="single" w:sz="4" w:space="0" w:color="auto"/>
            </w:tcBorders>
            <w:shd w:val="clear" w:color="auto" w:fill="auto"/>
            <w:vAlign w:val="center"/>
            <w:hideMark/>
          </w:tcPr>
          <w:p w14:paraId="04A6C256"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11,743,283 </w:t>
            </w:r>
          </w:p>
        </w:tc>
        <w:tc>
          <w:tcPr>
            <w:tcW w:w="0" w:type="auto"/>
            <w:tcBorders>
              <w:top w:val="nil"/>
              <w:left w:val="nil"/>
              <w:bottom w:val="single" w:sz="4" w:space="0" w:color="auto"/>
              <w:right w:val="single" w:sz="4" w:space="0" w:color="auto"/>
            </w:tcBorders>
            <w:shd w:val="clear" w:color="auto" w:fill="auto"/>
            <w:vAlign w:val="center"/>
            <w:hideMark/>
          </w:tcPr>
          <w:p w14:paraId="0C7A1A03"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48%</w:t>
            </w:r>
          </w:p>
        </w:tc>
      </w:tr>
      <w:tr w:rsidR="00154DA6" w:rsidRPr="00124E1C" w14:paraId="5EA880B5"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66CFC9"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4</w:t>
            </w:r>
          </w:p>
        </w:tc>
        <w:tc>
          <w:tcPr>
            <w:tcW w:w="0" w:type="auto"/>
            <w:tcBorders>
              <w:top w:val="nil"/>
              <w:left w:val="nil"/>
              <w:bottom w:val="single" w:sz="4" w:space="0" w:color="auto"/>
              <w:right w:val="single" w:sz="4" w:space="0" w:color="auto"/>
            </w:tcBorders>
            <w:shd w:val="clear" w:color="auto" w:fill="auto"/>
            <w:vAlign w:val="center"/>
            <w:hideMark/>
          </w:tcPr>
          <w:p w14:paraId="723E2856"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Ministerio de Desarrollo Social</w:t>
            </w:r>
          </w:p>
        </w:tc>
        <w:tc>
          <w:tcPr>
            <w:tcW w:w="0" w:type="auto"/>
            <w:tcBorders>
              <w:top w:val="nil"/>
              <w:left w:val="nil"/>
              <w:bottom w:val="single" w:sz="4" w:space="0" w:color="auto"/>
              <w:right w:val="single" w:sz="4" w:space="0" w:color="auto"/>
            </w:tcBorders>
            <w:shd w:val="clear" w:color="auto" w:fill="auto"/>
            <w:noWrap/>
            <w:vAlign w:val="center"/>
            <w:hideMark/>
          </w:tcPr>
          <w:p w14:paraId="559E4EAC"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MIDES</w:t>
            </w:r>
          </w:p>
        </w:tc>
        <w:tc>
          <w:tcPr>
            <w:tcW w:w="0" w:type="auto"/>
            <w:tcBorders>
              <w:top w:val="nil"/>
              <w:left w:val="nil"/>
              <w:bottom w:val="single" w:sz="4" w:space="0" w:color="auto"/>
              <w:right w:val="single" w:sz="4" w:space="0" w:color="auto"/>
            </w:tcBorders>
            <w:shd w:val="clear" w:color="auto" w:fill="auto"/>
            <w:vAlign w:val="center"/>
            <w:hideMark/>
          </w:tcPr>
          <w:p w14:paraId="353CF7D3"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299,960,464 </w:t>
            </w:r>
          </w:p>
        </w:tc>
        <w:tc>
          <w:tcPr>
            <w:tcW w:w="0" w:type="auto"/>
            <w:tcBorders>
              <w:top w:val="nil"/>
              <w:left w:val="nil"/>
              <w:bottom w:val="single" w:sz="4" w:space="0" w:color="auto"/>
              <w:right w:val="single" w:sz="4" w:space="0" w:color="auto"/>
            </w:tcBorders>
            <w:shd w:val="clear" w:color="auto" w:fill="auto"/>
            <w:vAlign w:val="center"/>
            <w:hideMark/>
          </w:tcPr>
          <w:p w14:paraId="7EFC1D3C"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338,203,145 </w:t>
            </w:r>
          </w:p>
        </w:tc>
        <w:tc>
          <w:tcPr>
            <w:tcW w:w="0" w:type="auto"/>
            <w:tcBorders>
              <w:top w:val="nil"/>
              <w:left w:val="nil"/>
              <w:bottom w:val="single" w:sz="4" w:space="0" w:color="auto"/>
              <w:right w:val="single" w:sz="4" w:space="0" w:color="auto"/>
            </w:tcBorders>
            <w:shd w:val="clear" w:color="auto" w:fill="auto"/>
            <w:vAlign w:val="center"/>
            <w:hideMark/>
          </w:tcPr>
          <w:p w14:paraId="28FA80DB"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87,943,857 </w:t>
            </w:r>
          </w:p>
        </w:tc>
        <w:tc>
          <w:tcPr>
            <w:tcW w:w="0" w:type="auto"/>
            <w:tcBorders>
              <w:top w:val="nil"/>
              <w:left w:val="nil"/>
              <w:bottom w:val="single" w:sz="4" w:space="0" w:color="auto"/>
              <w:right w:val="single" w:sz="4" w:space="0" w:color="auto"/>
            </w:tcBorders>
            <w:shd w:val="clear" w:color="auto" w:fill="auto"/>
            <w:vAlign w:val="center"/>
            <w:hideMark/>
          </w:tcPr>
          <w:p w14:paraId="2D2E275A"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48%</w:t>
            </w:r>
          </w:p>
        </w:tc>
      </w:tr>
      <w:tr w:rsidR="00154DA6" w:rsidRPr="00124E1C" w14:paraId="6EC0CEB7"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5E97DE"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5</w:t>
            </w:r>
          </w:p>
        </w:tc>
        <w:tc>
          <w:tcPr>
            <w:tcW w:w="0" w:type="auto"/>
            <w:tcBorders>
              <w:top w:val="nil"/>
              <w:left w:val="nil"/>
              <w:bottom w:val="single" w:sz="4" w:space="0" w:color="auto"/>
              <w:right w:val="single" w:sz="4" w:space="0" w:color="auto"/>
            </w:tcBorders>
            <w:shd w:val="clear" w:color="auto" w:fill="auto"/>
            <w:vAlign w:val="center"/>
            <w:hideMark/>
          </w:tcPr>
          <w:p w14:paraId="24F4D9A5"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Ministerio de Economía</w:t>
            </w:r>
          </w:p>
        </w:tc>
        <w:tc>
          <w:tcPr>
            <w:tcW w:w="0" w:type="auto"/>
            <w:tcBorders>
              <w:top w:val="nil"/>
              <w:left w:val="nil"/>
              <w:bottom w:val="single" w:sz="4" w:space="0" w:color="auto"/>
              <w:right w:val="single" w:sz="4" w:space="0" w:color="auto"/>
            </w:tcBorders>
            <w:shd w:val="clear" w:color="auto" w:fill="auto"/>
            <w:noWrap/>
            <w:vAlign w:val="center"/>
            <w:hideMark/>
          </w:tcPr>
          <w:p w14:paraId="604E590C"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MINECO</w:t>
            </w:r>
          </w:p>
        </w:tc>
        <w:tc>
          <w:tcPr>
            <w:tcW w:w="0" w:type="auto"/>
            <w:tcBorders>
              <w:top w:val="nil"/>
              <w:left w:val="nil"/>
              <w:bottom w:val="single" w:sz="4" w:space="0" w:color="auto"/>
              <w:right w:val="single" w:sz="4" w:space="0" w:color="auto"/>
            </w:tcBorders>
            <w:shd w:val="clear" w:color="auto" w:fill="auto"/>
            <w:vAlign w:val="center"/>
            <w:hideMark/>
          </w:tcPr>
          <w:p w14:paraId="38BAF8FD"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46,248,243 </w:t>
            </w:r>
          </w:p>
        </w:tc>
        <w:tc>
          <w:tcPr>
            <w:tcW w:w="0" w:type="auto"/>
            <w:tcBorders>
              <w:top w:val="nil"/>
              <w:left w:val="nil"/>
              <w:bottom w:val="single" w:sz="4" w:space="0" w:color="auto"/>
              <w:right w:val="single" w:sz="4" w:space="0" w:color="auto"/>
            </w:tcBorders>
            <w:shd w:val="clear" w:color="auto" w:fill="auto"/>
            <w:vAlign w:val="center"/>
            <w:hideMark/>
          </w:tcPr>
          <w:p w14:paraId="77EED8F9"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49,478,096 </w:t>
            </w:r>
          </w:p>
        </w:tc>
        <w:tc>
          <w:tcPr>
            <w:tcW w:w="0" w:type="auto"/>
            <w:tcBorders>
              <w:top w:val="nil"/>
              <w:left w:val="nil"/>
              <w:bottom w:val="single" w:sz="4" w:space="0" w:color="auto"/>
              <w:right w:val="single" w:sz="4" w:space="0" w:color="auto"/>
            </w:tcBorders>
            <w:shd w:val="clear" w:color="auto" w:fill="auto"/>
            <w:vAlign w:val="center"/>
            <w:hideMark/>
          </w:tcPr>
          <w:p w14:paraId="2106CB36"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16,251,264 </w:t>
            </w:r>
          </w:p>
        </w:tc>
        <w:tc>
          <w:tcPr>
            <w:tcW w:w="0" w:type="auto"/>
            <w:tcBorders>
              <w:top w:val="nil"/>
              <w:left w:val="nil"/>
              <w:bottom w:val="single" w:sz="4" w:space="0" w:color="auto"/>
              <w:right w:val="single" w:sz="4" w:space="0" w:color="auto"/>
            </w:tcBorders>
            <w:shd w:val="clear" w:color="auto" w:fill="auto"/>
            <w:vAlign w:val="center"/>
            <w:hideMark/>
          </w:tcPr>
          <w:p w14:paraId="1CAE88BF"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48%</w:t>
            </w:r>
          </w:p>
        </w:tc>
      </w:tr>
      <w:tr w:rsidR="00154DA6" w:rsidRPr="00124E1C" w14:paraId="6F085C23"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C73FAF"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6</w:t>
            </w:r>
          </w:p>
        </w:tc>
        <w:tc>
          <w:tcPr>
            <w:tcW w:w="0" w:type="auto"/>
            <w:tcBorders>
              <w:top w:val="nil"/>
              <w:left w:val="nil"/>
              <w:bottom w:val="single" w:sz="4" w:space="0" w:color="auto"/>
              <w:right w:val="single" w:sz="4" w:space="0" w:color="auto"/>
            </w:tcBorders>
            <w:shd w:val="clear" w:color="auto" w:fill="auto"/>
            <w:vAlign w:val="center"/>
            <w:hideMark/>
          </w:tcPr>
          <w:p w14:paraId="77E30A7E"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Ministerio de Educación</w:t>
            </w:r>
          </w:p>
        </w:tc>
        <w:tc>
          <w:tcPr>
            <w:tcW w:w="0" w:type="auto"/>
            <w:tcBorders>
              <w:top w:val="nil"/>
              <w:left w:val="nil"/>
              <w:bottom w:val="single" w:sz="4" w:space="0" w:color="auto"/>
              <w:right w:val="single" w:sz="4" w:space="0" w:color="auto"/>
            </w:tcBorders>
            <w:shd w:val="clear" w:color="auto" w:fill="auto"/>
            <w:noWrap/>
            <w:vAlign w:val="center"/>
            <w:hideMark/>
          </w:tcPr>
          <w:p w14:paraId="5C166F98"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MINEDUC</w:t>
            </w:r>
          </w:p>
        </w:tc>
        <w:tc>
          <w:tcPr>
            <w:tcW w:w="0" w:type="auto"/>
            <w:tcBorders>
              <w:top w:val="nil"/>
              <w:left w:val="nil"/>
              <w:bottom w:val="single" w:sz="4" w:space="0" w:color="auto"/>
              <w:right w:val="single" w:sz="4" w:space="0" w:color="auto"/>
            </w:tcBorders>
            <w:shd w:val="clear" w:color="auto" w:fill="auto"/>
            <w:vAlign w:val="center"/>
            <w:hideMark/>
          </w:tcPr>
          <w:p w14:paraId="63C402BE"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13,372,999 </w:t>
            </w:r>
          </w:p>
        </w:tc>
        <w:tc>
          <w:tcPr>
            <w:tcW w:w="0" w:type="auto"/>
            <w:tcBorders>
              <w:top w:val="nil"/>
              <w:left w:val="nil"/>
              <w:bottom w:val="single" w:sz="4" w:space="0" w:color="auto"/>
              <w:right w:val="single" w:sz="4" w:space="0" w:color="auto"/>
            </w:tcBorders>
            <w:shd w:val="clear" w:color="auto" w:fill="auto"/>
            <w:vAlign w:val="center"/>
            <w:hideMark/>
          </w:tcPr>
          <w:p w14:paraId="71AA1BC5"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13,773,369 </w:t>
            </w:r>
          </w:p>
        </w:tc>
        <w:tc>
          <w:tcPr>
            <w:tcW w:w="0" w:type="auto"/>
            <w:tcBorders>
              <w:top w:val="nil"/>
              <w:left w:val="nil"/>
              <w:bottom w:val="single" w:sz="4" w:space="0" w:color="auto"/>
              <w:right w:val="single" w:sz="4" w:space="0" w:color="auto"/>
            </w:tcBorders>
            <w:shd w:val="clear" w:color="auto" w:fill="auto"/>
            <w:vAlign w:val="center"/>
            <w:hideMark/>
          </w:tcPr>
          <w:p w14:paraId="25F85239"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6,358,069 </w:t>
            </w:r>
          </w:p>
        </w:tc>
        <w:tc>
          <w:tcPr>
            <w:tcW w:w="0" w:type="auto"/>
            <w:tcBorders>
              <w:top w:val="nil"/>
              <w:left w:val="nil"/>
              <w:bottom w:val="single" w:sz="4" w:space="0" w:color="auto"/>
              <w:right w:val="single" w:sz="4" w:space="0" w:color="auto"/>
            </w:tcBorders>
            <w:shd w:val="clear" w:color="auto" w:fill="auto"/>
            <w:vAlign w:val="center"/>
            <w:hideMark/>
          </w:tcPr>
          <w:p w14:paraId="42771FB6"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48%</w:t>
            </w:r>
          </w:p>
        </w:tc>
      </w:tr>
      <w:tr w:rsidR="00154DA6" w:rsidRPr="00124E1C" w14:paraId="3D581943"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C38E72"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7</w:t>
            </w:r>
          </w:p>
        </w:tc>
        <w:tc>
          <w:tcPr>
            <w:tcW w:w="0" w:type="auto"/>
            <w:tcBorders>
              <w:top w:val="nil"/>
              <w:left w:val="nil"/>
              <w:bottom w:val="single" w:sz="4" w:space="0" w:color="auto"/>
              <w:right w:val="single" w:sz="4" w:space="0" w:color="auto"/>
            </w:tcBorders>
            <w:shd w:val="clear" w:color="auto" w:fill="auto"/>
            <w:vAlign w:val="center"/>
            <w:hideMark/>
          </w:tcPr>
          <w:p w14:paraId="1F3C7C44"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Ministerio de Energía y Minas</w:t>
            </w:r>
          </w:p>
        </w:tc>
        <w:tc>
          <w:tcPr>
            <w:tcW w:w="0" w:type="auto"/>
            <w:tcBorders>
              <w:top w:val="nil"/>
              <w:left w:val="nil"/>
              <w:bottom w:val="single" w:sz="4" w:space="0" w:color="auto"/>
              <w:right w:val="single" w:sz="4" w:space="0" w:color="auto"/>
            </w:tcBorders>
            <w:shd w:val="clear" w:color="auto" w:fill="auto"/>
            <w:noWrap/>
            <w:vAlign w:val="center"/>
            <w:hideMark/>
          </w:tcPr>
          <w:p w14:paraId="6E77EFCD"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MEM</w:t>
            </w:r>
          </w:p>
        </w:tc>
        <w:tc>
          <w:tcPr>
            <w:tcW w:w="0" w:type="auto"/>
            <w:tcBorders>
              <w:top w:val="nil"/>
              <w:left w:val="nil"/>
              <w:bottom w:val="single" w:sz="4" w:space="0" w:color="auto"/>
              <w:right w:val="single" w:sz="4" w:space="0" w:color="auto"/>
            </w:tcBorders>
            <w:shd w:val="clear" w:color="auto" w:fill="auto"/>
            <w:vAlign w:val="center"/>
            <w:hideMark/>
          </w:tcPr>
          <w:p w14:paraId="0A378708"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2,233,199 </w:t>
            </w:r>
          </w:p>
        </w:tc>
        <w:tc>
          <w:tcPr>
            <w:tcW w:w="0" w:type="auto"/>
            <w:tcBorders>
              <w:top w:val="nil"/>
              <w:left w:val="nil"/>
              <w:bottom w:val="single" w:sz="4" w:space="0" w:color="auto"/>
              <w:right w:val="single" w:sz="4" w:space="0" w:color="auto"/>
            </w:tcBorders>
            <w:shd w:val="clear" w:color="auto" w:fill="auto"/>
            <w:vAlign w:val="center"/>
            <w:hideMark/>
          </w:tcPr>
          <w:p w14:paraId="0F44059E"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2,008,835 </w:t>
            </w:r>
          </w:p>
        </w:tc>
        <w:tc>
          <w:tcPr>
            <w:tcW w:w="0" w:type="auto"/>
            <w:tcBorders>
              <w:top w:val="nil"/>
              <w:left w:val="nil"/>
              <w:bottom w:val="single" w:sz="4" w:space="0" w:color="auto"/>
              <w:right w:val="single" w:sz="4" w:space="0" w:color="auto"/>
            </w:tcBorders>
            <w:shd w:val="clear" w:color="auto" w:fill="auto"/>
            <w:vAlign w:val="center"/>
            <w:hideMark/>
          </w:tcPr>
          <w:p w14:paraId="3F982B5B"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569,984 </w:t>
            </w:r>
          </w:p>
        </w:tc>
        <w:tc>
          <w:tcPr>
            <w:tcW w:w="0" w:type="auto"/>
            <w:tcBorders>
              <w:top w:val="nil"/>
              <w:left w:val="nil"/>
              <w:bottom w:val="single" w:sz="4" w:space="0" w:color="auto"/>
              <w:right w:val="single" w:sz="4" w:space="0" w:color="auto"/>
            </w:tcBorders>
            <w:shd w:val="clear" w:color="auto" w:fill="auto"/>
            <w:vAlign w:val="center"/>
            <w:hideMark/>
          </w:tcPr>
          <w:p w14:paraId="4BC41B4C"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48%</w:t>
            </w:r>
          </w:p>
        </w:tc>
      </w:tr>
      <w:tr w:rsidR="00154DA6" w:rsidRPr="00124E1C" w14:paraId="53F4202D"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CDF355"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8</w:t>
            </w:r>
          </w:p>
        </w:tc>
        <w:tc>
          <w:tcPr>
            <w:tcW w:w="0" w:type="auto"/>
            <w:tcBorders>
              <w:top w:val="nil"/>
              <w:left w:val="nil"/>
              <w:bottom w:val="single" w:sz="4" w:space="0" w:color="auto"/>
              <w:right w:val="single" w:sz="4" w:space="0" w:color="auto"/>
            </w:tcBorders>
            <w:shd w:val="clear" w:color="auto" w:fill="auto"/>
            <w:vAlign w:val="center"/>
            <w:hideMark/>
          </w:tcPr>
          <w:p w14:paraId="32FCF579"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Ministerio de Gobernación</w:t>
            </w:r>
          </w:p>
        </w:tc>
        <w:tc>
          <w:tcPr>
            <w:tcW w:w="0" w:type="auto"/>
            <w:tcBorders>
              <w:top w:val="nil"/>
              <w:left w:val="nil"/>
              <w:bottom w:val="single" w:sz="4" w:space="0" w:color="auto"/>
              <w:right w:val="single" w:sz="4" w:space="0" w:color="auto"/>
            </w:tcBorders>
            <w:shd w:val="clear" w:color="auto" w:fill="auto"/>
            <w:noWrap/>
            <w:vAlign w:val="center"/>
            <w:hideMark/>
          </w:tcPr>
          <w:p w14:paraId="2D61E485"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MINGOB</w:t>
            </w:r>
          </w:p>
        </w:tc>
        <w:tc>
          <w:tcPr>
            <w:tcW w:w="0" w:type="auto"/>
            <w:tcBorders>
              <w:top w:val="nil"/>
              <w:left w:val="nil"/>
              <w:bottom w:val="single" w:sz="4" w:space="0" w:color="auto"/>
              <w:right w:val="single" w:sz="4" w:space="0" w:color="auto"/>
            </w:tcBorders>
            <w:shd w:val="clear" w:color="auto" w:fill="auto"/>
            <w:vAlign w:val="center"/>
            <w:hideMark/>
          </w:tcPr>
          <w:p w14:paraId="1F8899AF" w14:textId="67AB4448"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w:t>
            </w:r>
            <w:r w:rsidR="00164DAD" w:rsidRPr="00124E1C">
              <w:rPr>
                <w:rFonts w:eastAsia="Times New Roman" w:cs="Times New Roman"/>
                <w:color w:val="000000"/>
                <w:sz w:val="14"/>
                <w:szCs w:val="20"/>
                <w:lang w:eastAsia="es-GT"/>
              </w:rPr>
              <w:t>Q 3,845,746,457</w:t>
            </w:r>
            <w:r w:rsidRPr="00124E1C">
              <w:rPr>
                <w:rFonts w:eastAsia="Times New Roman" w:cs="Times New Roman"/>
                <w:color w:val="000000"/>
                <w:sz w:val="14"/>
                <w:szCs w:val="20"/>
                <w:lang w:eastAsia="es-GT"/>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67CA078" w14:textId="08627AE8"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w:t>
            </w:r>
            <w:r w:rsidR="00164DAD" w:rsidRPr="00124E1C">
              <w:rPr>
                <w:rFonts w:eastAsia="Times New Roman" w:cs="Times New Roman"/>
                <w:color w:val="000000"/>
                <w:sz w:val="14"/>
                <w:szCs w:val="20"/>
                <w:lang w:eastAsia="es-GT"/>
              </w:rPr>
              <w:t>Q 3,484,227,023</w:t>
            </w:r>
            <w:r w:rsidRPr="00124E1C">
              <w:rPr>
                <w:rFonts w:eastAsia="Times New Roman" w:cs="Times New Roman"/>
                <w:color w:val="000000"/>
                <w:sz w:val="14"/>
                <w:szCs w:val="20"/>
                <w:lang w:eastAsia="es-GT"/>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2509E4" w14:textId="4F516DDE"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w:t>
            </w:r>
            <w:r w:rsidR="00164DAD" w:rsidRPr="00124E1C">
              <w:rPr>
                <w:rFonts w:eastAsia="Times New Roman" w:cs="Times New Roman"/>
                <w:color w:val="000000"/>
                <w:sz w:val="14"/>
                <w:szCs w:val="20"/>
                <w:lang w:eastAsia="es-GT"/>
              </w:rPr>
              <w:t>Q 1,677,037,052</w:t>
            </w:r>
            <w:r w:rsidRPr="00124E1C">
              <w:rPr>
                <w:rFonts w:eastAsia="Times New Roman" w:cs="Times New Roman"/>
                <w:color w:val="000000"/>
                <w:sz w:val="14"/>
                <w:szCs w:val="20"/>
                <w:lang w:eastAsia="es-GT"/>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5F931B0"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48%</w:t>
            </w:r>
          </w:p>
        </w:tc>
      </w:tr>
      <w:tr w:rsidR="00154DA6" w:rsidRPr="00124E1C" w14:paraId="576E3D0A"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83461F"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9</w:t>
            </w:r>
          </w:p>
        </w:tc>
        <w:tc>
          <w:tcPr>
            <w:tcW w:w="0" w:type="auto"/>
            <w:tcBorders>
              <w:top w:val="nil"/>
              <w:left w:val="nil"/>
              <w:bottom w:val="single" w:sz="4" w:space="0" w:color="auto"/>
              <w:right w:val="single" w:sz="4" w:space="0" w:color="auto"/>
            </w:tcBorders>
            <w:shd w:val="clear" w:color="auto" w:fill="auto"/>
            <w:vAlign w:val="center"/>
            <w:hideMark/>
          </w:tcPr>
          <w:p w14:paraId="6226030E"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Ministerio de Relaciones Exteriores</w:t>
            </w:r>
          </w:p>
        </w:tc>
        <w:tc>
          <w:tcPr>
            <w:tcW w:w="0" w:type="auto"/>
            <w:tcBorders>
              <w:top w:val="nil"/>
              <w:left w:val="nil"/>
              <w:bottom w:val="single" w:sz="4" w:space="0" w:color="auto"/>
              <w:right w:val="single" w:sz="4" w:space="0" w:color="auto"/>
            </w:tcBorders>
            <w:shd w:val="clear" w:color="auto" w:fill="auto"/>
            <w:noWrap/>
            <w:vAlign w:val="center"/>
            <w:hideMark/>
          </w:tcPr>
          <w:p w14:paraId="67500A39"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MINEX</w:t>
            </w:r>
          </w:p>
        </w:tc>
        <w:tc>
          <w:tcPr>
            <w:tcW w:w="0" w:type="auto"/>
            <w:tcBorders>
              <w:top w:val="nil"/>
              <w:left w:val="nil"/>
              <w:bottom w:val="single" w:sz="4" w:space="0" w:color="auto"/>
              <w:right w:val="single" w:sz="4" w:space="0" w:color="auto"/>
            </w:tcBorders>
            <w:shd w:val="clear" w:color="auto" w:fill="auto"/>
            <w:vAlign w:val="center"/>
            <w:hideMark/>
          </w:tcPr>
          <w:p w14:paraId="04A51A42"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225,867,518 </w:t>
            </w:r>
          </w:p>
        </w:tc>
        <w:tc>
          <w:tcPr>
            <w:tcW w:w="0" w:type="auto"/>
            <w:tcBorders>
              <w:top w:val="nil"/>
              <w:left w:val="nil"/>
              <w:bottom w:val="single" w:sz="4" w:space="0" w:color="auto"/>
              <w:right w:val="single" w:sz="4" w:space="0" w:color="auto"/>
            </w:tcBorders>
            <w:shd w:val="clear" w:color="auto" w:fill="auto"/>
            <w:vAlign w:val="center"/>
            <w:hideMark/>
          </w:tcPr>
          <w:p w14:paraId="4CECF885"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217,716,623 </w:t>
            </w:r>
          </w:p>
        </w:tc>
        <w:tc>
          <w:tcPr>
            <w:tcW w:w="0" w:type="auto"/>
            <w:tcBorders>
              <w:top w:val="nil"/>
              <w:left w:val="nil"/>
              <w:bottom w:val="single" w:sz="4" w:space="0" w:color="auto"/>
              <w:right w:val="single" w:sz="4" w:space="0" w:color="auto"/>
            </w:tcBorders>
            <w:shd w:val="clear" w:color="auto" w:fill="auto"/>
            <w:vAlign w:val="center"/>
            <w:hideMark/>
          </w:tcPr>
          <w:p w14:paraId="3A06D60A"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82,099,815 </w:t>
            </w:r>
          </w:p>
        </w:tc>
        <w:tc>
          <w:tcPr>
            <w:tcW w:w="0" w:type="auto"/>
            <w:tcBorders>
              <w:top w:val="nil"/>
              <w:left w:val="nil"/>
              <w:bottom w:val="single" w:sz="4" w:space="0" w:color="auto"/>
              <w:right w:val="single" w:sz="4" w:space="0" w:color="auto"/>
            </w:tcBorders>
            <w:shd w:val="clear" w:color="auto" w:fill="auto"/>
            <w:vAlign w:val="center"/>
            <w:hideMark/>
          </w:tcPr>
          <w:p w14:paraId="334E21AA"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38%</w:t>
            </w:r>
          </w:p>
        </w:tc>
      </w:tr>
      <w:tr w:rsidR="00154DA6" w:rsidRPr="00124E1C" w14:paraId="3A7FE3D2"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289102"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10</w:t>
            </w:r>
          </w:p>
        </w:tc>
        <w:tc>
          <w:tcPr>
            <w:tcW w:w="0" w:type="auto"/>
            <w:tcBorders>
              <w:top w:val="nil"/>
              <w:left w:val="nil"/>
              <w:bottom w:val="single" w:sz="4" w:space="0" w:color="auto"/>
              <w:right w:val="single" w:sz="4" w:space="0" w:color="auto"/>
            </w:tcBorders>
            <w:shd w:val="clear" w:color="auto" w:fill="auto"/>
            <w:vAlign w:val="center"/>
            <w:hideMark/>
          </w:tcPr>
          <w:p w14:paraId="1E4FD48B"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Ministerio de Salud Pública y Asistencia Social</w:t>
            </w:r>
          </w:p>
        </w:tc>
        <w:tc>
          <w:tcPr>
            <w:tcW w:w="0" w:type="auto"/>
            <w:tcBorders>
              <w:top w:val="nil"/>
              <w:left w:val="nil"/>
              <w:bottom w:val="single" w:sz="4" w:space="0" w:color="auto"/>
              <w:right w:val="single" w:sz="4" w:space="0" w:color="auto"/>
            </w:tcBorders>
            <w:shd w:val="clear" w:color="auto" w:fill="auto"/>
            <w:noWrap/>
            <w:vAlign w:val="center"/>
            <w:hideMark/>
          </w:tcPr>
          <w:p w14:paraId="779991AA"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MSPAS</w:t>
            </w:r>
          </w:p>
        </w:tc>
        <w:tc>
          <w:tcPr>
            <w:tcW w:w="0" w:type="auto"/>
            <w:tcBorders>
              <w:top w:val="nil"/>
              <w:left w:val="nil"/>
              <w:bottom w:val="single" w:sz="4" w:space="0" w:color="auto"/>
              <w:right w:val="single" w:sz="4" w:space="0" w:color="auto"/>
            </w:tcBorders>
            <w:shd w:val="clear" w:color="auto" w:fill="auto"/>
            <w:vAlign w:val="center"/>
            <w:hideMark/>
          </w:tcPr>
          <w:p w14:paraId="5976174D"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848,125,447 </w:t>
            </w:r>
          </w:p>
        </w:tc>
        <w:tc>
          <w:tcPr>
            <w:tcW w:w="0" w:type="auto"/>
            <w:tcBorders>
              <w:top w:val="nil"/>
              <w:left w:val="nil"/>
              <w:bottom w:val="single" w:sz="4" w:space="0" w:color="auto"/>
              <w:right w:val="single" w:sz="4" w:space="0" w:color="auto"/>
            </w:tcBorders>
            <w:shd w:val="clear" w:color="auto" w:fill="auto"/>
            <w:vAlign w:val="center"/>
            <w:hideMark/>
          </w:tcPr>
          <w:p w14:paraId="2268B838"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838,824,045 </w:t>
            </w:r>
          </w:p>
        </w:tc>
        <w:tc>
          <w:tcPr>
            <w:tcW w:w="0" w:type="auto"/>
            <w:tcBorders>
              <w:top w:val="nil"/>
              <w:left w:val="nil"/>
              <w:bottom w:val="single" w:sz="4" w:space="0" w:color="auto"/>
              <w:right w:val="single" w:sz="4" w:space="0" w:color="auto"/>
            </w:tcBorders>
            <w:shd w:val="clear" w:color="auto" w:fill="auto"/>
            <w:vAlign w:val="center"/>
            <w:hideMark/>
          </w:tcPr>
          <w:p w14:paraId="26700E9E"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358,730,558 </w:t>
            </w:r>
          </w:p>
        </w:tc>
        <w:tc>
          <w:tcPr>
            <w:tcW w:w="0" w:type="auto"/>
            <w:tcBorders>
              <w:top w:val="nil"/>
              <w:left w:val="nil"/>
              <w:bottom w:val="single" w:sz="4" w:space="0" w:color="auto"/>
              <w:right w:val="single" w:sz="4" w:space="0" w:color="auto"/>
            </w:tcBorders>
            <w:shd w:val="clear" w:color="auto" w:fill="auto"/>
            <w:vAlign w:val="center"/>
            <w:hideMark/>
          </w:tcPr>
          <w:p w14:paraId="33ED87CF"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43%</w:t>
            </w:r>
          </w:p>
        </w:tc>
      </w:tr>
      <w:tr w:rsidR="00154DA6" w:rsidRPr="00124E1C" w14:paraId="5350E391"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53BE0A"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11</w:t>
            </w:r>
          </w:p>
        </w:tc>
        <w:tc>
          <w:tcPr>
            <w:tcW w:w="0" w:type="auto"/>
            <w:tcBorders>
              <w:top w:val="nil"/>
              <w:left w:val="nil"/>
              <w:bottom w:val="single" w:sz="4" w:space="0" w:color="auto"/>
              <w:right w:val="single" w:sz="4" w:space="0" w:color="auto"/>
            </w:tcBorders>
            <w:shd w:val="clear" w:color="auto" w:fill="auto"/>
            <w:vAlign w:val="center"/>
            <w:hideMark/>
          </w:tcPr>
          <w:p w14:paraId="42AE5BCD"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Ministerio de Trabajo y Previsión Social</w:t>
            </w:r>
          </w:p>
        </w:tc>
        <w:tc>
          <w:tcPr>
            <w:tcW w:w="0" w:type="auto"/>
            <w:tcBorders>
              <w:top w:val="nil"/>
              <w:left w:val="nil"/>
              <w:bottom w:val="single" w:sz="4" w:space="0" w:color="auto"/>
              <w:right w:val="single" w:sz="4" w:space="0" w:color="auto"/>
            </w:tcBorders>
            <w:shd w:val="clear" w:color="auto" w:fill="auto"/>
            <w:noWrap/>
            <w:vAlign w:val="center"/>
            <w:hideMark/>
          </w:tcPr>
          <w:p w14:paraId="36049CF7"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MINTRAB</w:t>
            </w:r>
          </w:p>
        </w:tc>
        <w:tc>
          <w:tcPr>
            <w:tcW w:w="0" w:type="auto"/>
            <w:tcBorders>
              <w:top w:val="nil"/>
              <w:left w:val="nil"/>
              <w:bottom w:val="single" w:sz="4" w:space="0" w:color="auto"/>
              <w:right w:val="single" w:sz="4" w:space="0" w:color="auto"/>
            </w:tcBorders>
            <w:shd w:val="clear" w:color="auto" w:fill="auto"/>
            <w:vAlign w:val="center"/>
            <w:hideMark/>
          </w:tcPr>
          <w:p w14:paraId="6A06933C"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7,881,812 </w:t>
            </w:r>
          </w:p>
        </w:tc>
        <w:tc>
          <w:tcPr>
            <w:tcW w:w="0" w:type="auto"/>
            <w:tcBorders>
              <w:top w:val="nil"/>
              <w:left w:val="nil"/>
              <w:bottom w:val="single" w:sz="4" w:space="0" w:color="auto"/>
              <w:right w:val="single" w:sz="4" w:space="0" w:color="auto"/>
            </w:tcBorders>
            <w:shd w:val="clear" w:color="auto" w:fill="auto"/>
            <w:vAlign w:val="center"/>
            <w:hideMark/>
          </w:tcPr>
          <w:p w14:paraId="194B4708"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7,102,848 </w:t>
            </w:r>
          </w:p>
        </w:tc>
        <w:tc>
          <w:tcPr>
            <w:tcW w:w="0" w:type="auto"/>
            <w:tcBorders>
              <w:top w:val="nil"/>
              <w:left w:val="nil"/>
              <w:bottom w:val="single" w:sz="4" w:space="0" w:color="auto"/>
              <w:right w:val="single" w:sz="4" w:space="0" w:color="auto"/>
            </w:tcBorders>
            <w:shd w:val="clear" w:color="auto" w:fill="auto"/>
            <w:vAlign w:val="center"/>
            <w:hideMark/>
          </w:tcPr>
          <w:p w14:paraId="77F0B666"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2,333,172 </w:t>
            </w:r>
          </w:p>
        </w:tc>
        <w:tc>
          <w:tcPr>
            <w:tcW w:w="0" w:type="auto"/>
            <w:tcBorders>
              <w:top w:val="nil"/>
              <w:left w:val="nil"/>
              <w:bottom w:val="single" w:sz="4" w:space="0" w:color="auto"/>
              <w:right w:val="single" w:sz="4" w:space="0" w:color="auto"/>
            </w:tcBorders>
            <w:shd w:val="clear" w:color="auto" w:fill="auto"/>
            <w:vAlign w:val="center"/>
            <w:hideMark/>
          </w:tcPr>
          <w:p w14:paraId="6892659B"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33%</w:t>
            </w:r>
          </w:p>
        </w:tc>
      </w:tr>
      <w:tr w:rsidR="00154DA6" w:rsidRPr="00124E1C" w14:paraId="41B9433E"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371FF8"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12</w:t>
            </w:r>
          </w:p>
        </w:tc>
        <w:tc>
          <w:tcPr>
            <w:tcW w:w="0" w:type="auto"/>
            <w:tcBorders>
              <w:top w:val="nil"/>
              <w:left w:val="nil"/>
              <w:bottom w:val="single" w:sz="4" w:space="0" w:color="auto"/>
              <w:right w:val="single" w:sz="4" w:space="0" w:color="auto"/>
            </w:tcBorders>
            <w:shd w:val="clear" w:color="auto" w:fill="auto"/>
            <w:vAlign w:val="center"/>
            <w:hideMark/>
          </w:tcPr>
          <w:p w14:paraId="1AD25552"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Procuraduría General de la Nación</w:t>
            </w:r>
          </w:p>
        </w:tc>
        <w:tc>
          <w:tcPr>
            <w:tcW w:w="0" w:type="auto"/>
            <w:tcBorders>
              <w:top w:val="nil"/>
              <w:left w:val="nil"/>
              <w:bottom w:val="single" w:sz="4" w:space="0" w:color="auto"/>
              <w:right w:val="single" w:sz="4" w:space="0" w:color="auto"/>
            </w:tcBorders>
            <w:shd w:val="clear" w:color="auto" w:fill="auto"/>
            <w:vAlign w:val="center"/>
            <w:hideMark/>
          </w:tcPr>
          <w:p w14:paraId="121FF7AB"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PGN</w:t>
            </w:r>
          </w:p>
        </w:tc>
        <w:tc>
          <w:tcPr>
            <w:tcW w:w="0" w:type="auto"/>
            <w:tcBorders>
              <w:top w:val="nil"/>
              <w:left w:val="nil"/>
              <w:bottom w:val="single" w:sz="4" w:space="0" w:color="auto"/>
              <w:right w:val="single" w:sz="4" w:space="0" w:color="auto"/>
            </w:tcBorders>
            <w:shd w:val="clear" w:color="auto" w:fill="auto"/>
            <w:vAlign w:val="center"/>
            <w:hideMark/>
          </w:tcPr>
          <w:p w14:paraId="6F6D1C88"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950,132 </w:t>
            </w:r>
          </w:p>
        </w:tc>
        <w:tc>
          <w:tcPr>
            <w:tcW w:w="0" w:type="auto"/>
            <w:tcBorders>
              <w:top w:val="nil"/>
              <w:left w:val="nil"/>
              <w:bottom w:val="single" w:sz="4" w:space="0" w:color="auto"/>
              <w:right w:val="single" w:sz="4" w:space="0" w:color="auto"/>
            </w:tcBorders>
            <w:shd w:val="clear" w:color="auto" w:fill="auto"/>
            <w:vAlign w:val="center"/>
            <w:hideMark/>
          </w:tcPr>
          <w:p w14:paraId="47EC7D33"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1,809,539 </w:t>
            </w:r>
          </w:p>
        </w:tc>
        <w:tc>
          <w:tcPr>
            <w:tcW w:w="0" w:type="auto"/>
            <w:tcBorders>
              <w:top w:val="nil"/>
              <w:left w:val="nil"/>
              <w:bottom w:val="single" w:sz="4" w:space="0" w:color="auto"/>
              <w:right w:val="single" w:sz="4" w:space="0" w:color="auto"/>
            </w:tcBorders>
            <w:shd w:val="clear" w:color="auto" w:fill="auto"/>
            <w:vAlign w:val="center"/>
            <w:hideMark/>
          </w:tcPr>
          <w:p w14:paraId="568BE7AA"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578,914 </w:t>
            </w:r>
          </w:p>
        </w:tc>
        <w:tc>
          <w:tcPr>
            <w:tcW w:w="0" w:type="auto"/>
            <w:tcBorders>
              <w:top w:val="nil"/>
              <w:left w:val="nil"/>
              <w:bottom w:val="single" w:sz="4" w:space="0" w:color="auto"/>
              <w:right w:val="single" w:sz="4" w:space="0" w:color="auto"/>
            </w:tcBorders>
            <w:shd w:val="clear" w:color="auto" w:fill="auto"/>
            <w:vAlign w:val="center"/>
            <w:hideMark/>
          </w:tcPr>
          <w:p w14:paraId="5043524D"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32%</w:t>
            </w:r>
          </w:p>
        </w:tc>
      </w:tr>
      <w:tr w:rsidR="00154DA6" w:rsidRPr="00124E1C" w14:paraId="26457179"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5713E"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13</w:t>
            </w:r>
          </w:p>
        </w:tc>
        <w:tc>
          <w:tcPr>
            <w:tcW w:w="0" w:type="auto"/>
            <w:tcBorders>
              <w:top w:val="nil"/>
              <w:left w:val="nil"/>
              <w:bottom w:val="single" w:sz="4" w:space="0" w:color="auto"/>
              <w:right w:val="single" w:sz="4" w:space="0" w:color="auto"/>
            </w:tcBorders>
            <w:shd w:val="clear" w:color="auto" w:fill="auto"/>
            <w:vAlign w:val="center"/>
            <w:hideMark/>
          </w:tcPr>
          <w:p w14:paraId="17E661EB"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Secretaría de Obras Sociales de la Esposa del </w:t>
            </w:r>
            <w:proofErr w:type="gramStart"/>
            <w:r w:rsidRPr="00124E1C">
              <w:rPr>
                <w:rFonts w:eastAsia="Times New Roman" w:cs="Times New Roman"/>
                <w:color w:val="000000"/>
                <w:sz w:val="14"/>
                <w:szCs w:val="20"/>
                <w:lang w:eastAsia="es-GT"/>
              </w:rPr>
              <w:t>Presidente</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7C473ABA"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SOSEP</w:t>
            </w:r>
          </w:p>
        </w:tc>
        <w:tc>
          <w:tcPr>
            <w:tcW w:w="0" w:type="auto"/>
            <w:tcBorders>
              <w:top w:val="nil"/>
              <w:left w:val="nil"/>
              <w:bottom w:val="single" w:sz="4" w:space="0" w:color="auto"/>
              <w:right w:val="single" w:sz="4" w:space="0" w:color="auto"/>
            </w:tcBorders>
            <w:shd w:val="clear" w:color="auto" w:fill="auto"/>
            <w:vAlign w:val="center"/>
            <w:hideMark/>
          </w:tcPr>
          <w:p w14:paraId="53A4E0EA"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10,826,243 </w:t>
            </w:r>
          </w:p>
        </w:tc>
        <w:tc>
          <w:tcPr>
            <w:tcW w:w="0" w:type="auto"/>
            <w:tcBorders>
              <w:top w:val="nil"/>
              <w:left w:val="nil"/>
              <w:bottom w:val="single" w:sz="4" w:space="0" w:color="auto"/>
              <w:right w:val="single" w:sz="4" w:space="0" w:color="auto"/>
            </w:tcBorders>
            <w:shd w:val="clear" w:color="auto" w:fill="auto"/>
            <w:vAlign w:val="center"/>
            <w:hideMark/>
          </w:tcPr>
          <w:p w14:paraId="775547D9"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8,440,286 </w:t>
            </w:r>
          </w:p>
        </w:tc>
        <w:tc>
          <w:tcPr>
            <w:tcW w:w="0" w:type="auto"/>
            <w:tcBorders>
              <w:top w:val="nil"/>
              <w:left w:val="nil"/>
              <w:bottom w:val="single" w:sz="4" w:space="0" w:color="auto"/>
              <w:right w:val="single" w:sz="4" w:space="0" w:color="auto"/>
            </w:tcBorders>
            <w:shd w:val="clear" w:color="auto" w:fill="auto"/>
            <w:vAlign w:val="center"/>
            <w:hideMark/>
          </w:tcPr>
          <w:p w14:paraId="1DB23DAE"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3,657,325 </w:t>
            </w:r>
          </w:p>
        </w:tc>
        <w:tc>
          <w:tcPr>
            <w:tcW w:w="0" w:type="auto"/>
            <w:tcBorders>
              <w:top w:val="nil"/>
              <w:left w:val="nil"/>
              <w:bottom w:val="single" w:sz="4" w:space="0" w:color="auto"/>
              <w:right w:val="single" w:sz="4" w:space="0" w:color="auto"/>
            </w:tcBorders>
            <w:shd w:val="clear" w:color="auto" w:fill="auto"/>
            <w:vAlign w:val="center"/>
            <w:hideMark/>
          </w:tcPr>
          <w:p w14:paraId="59F4FAC6"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43%</w:t>
            </w:r>
          </w:p>
        </w:tc>
      </w:tr>
      <w:tr w:rsidR="00154DA6" w:rsidRPr="00124E1C" w14:paraId="72F07DDD"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1EE5E1"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14</w:t>
            </w:r>
          </w:p>
        </w:tc>
        <w:tc>
          <w:tcPr>
            <w:tcW w:w="0" w:type="auto"/>
            <w:tcBorders>
              <w:top w:val="nil"/>
              <w:left w:val="nil"/>
              <w:bottom w:val="single" w:sz="4" w:space="0" w:color="auto"/>
              <w:right w:val="single" w:sz="4" w:space="0" w:color="auto"/>
            </w:tcBorders>
            <w:shd w:val="clear" w:color="auto" w:fill="auto"/>
            <w:vAlign w:val="center"/>
            <w:hideMark/>
          </w:tcPr>
          <w:p w14:paraId="2965C80C"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Secretaría Nacional de Ciencia y Tecnología</w:t>
            </w:r>
          </w:p>
        </w:tc>
        <w:tc>
          <w:tcPr>
            <w:tcW w:w="0" w:type="auto"/>
            <w:tcBorders>
              <w:top w:val="nil"/>
              <w:left w:val="nil"/>
              <w:bottom w:val="single" w:sz="4" w:space="0" w:color="auto"/>
              <w:right w:val="single" w:sz="4" w:space="0" w:color="auto"/>
            </w:tcBorders>
            <w:shd w:val="clear" w:color="auto" w:fill="auto"/>
            <w:noWrap/>
            <w:vAlign w:val="center"/>
            <w:hideMark/>
          </w:tcPr>
          <w:p w14:paraId="40B84FFF"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SENACYT</w:t>
            </w:r>
          </w:p>
        </w:tc>
        <w:tc>
          <w:tcPr>
            <w:tcW w:w="0" w:type="auto"/>
            <w:tcBorders>
              <w:top w:val="nil"/>
              <w:left w:val="nil"/>
              <w:bottom w:val="single" w:sz="4" w:space="0" w:color="auto"/>
              <w:right w:val="single" w:sz="4" w:space="0" w:color="auto"/>
            </w:tcBorders>
            <w:shd w:val="clear" w:color="auto" w:fill="auto"/>
            <w:vAlign w:val="center"/>
            <w:hideMark/>
          </w:tcPr>
          <w:p w14:paraId="79E1C918"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   </w:t>
            </w:r>
          </w:p>
        </w:tc>
        <w:tc>
          <w:tcPr>
            <w:tcW w:w="0" w:type="auto"/>
            <w:tcBorders>
              <w:top w:val="nil"/>
              <w:left w:val="nil"/>
              <w:bottom w:val="single" w:sz="4" w:space="0" w:color="auto"/>
              <w:right w:val="single" w:sz="4" w:space="0" w:color="auto"/>
            </w:tcBorders>
            <w:shd w:val="clear" w:color="auto" w:fill="auto"/>
            <w:vAlign w:val="center"/>
            <w:hideMark/>
          </w:tcPr>
          <w:p w14:paraId="65EC874A"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2,088,998 </w:t>
            </w:r>
          </w:p>
        </w:tc>
        <w:tc>
          <w:tcPr>
            <w:tcW w:w="0" w:type="auto"/>
            <w:tcBorders>
              <w:top w:val="nil"/>
              <w:left w:val="nil"/>
              <w:bottom w:val="single" w:sz="4" w:space="0" w:color="auto"/>
              <w:right w:val="single" w:sz="4" w:space="0" w:color="auto"/>
            </w:tcBorders>
            <w:shd w:val="clear" w:color="auto" w:fill="auto"/>
            <w:vAlign w:val="center"/>
            <w:hideMark/>
          </w:tcPr>
          <w:p w14:paraId="3E0F1F8A"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89,174 </w:t>
            </w:r>
          </w:p>
        </w:tc>
        <w:tc>
          <w:tcPr>
            <w:tcW w:w="0" w:type="auto"/>
            <w:tcBorders>
              <w:top w:val="nil"/>
              <w:left w:val="nil"/>
              <w:bottom w:val="single" w:sz="4" w:space="0" w:color="auto"/>
              <w:right w:val="single" w:sz="4" w:space="0" w:color="auto"/>
            </w:tcBorders>
            <w:shd w:val="clear" w:color="auto" w:fill="auto"/>
            <w:vAlign w:val="center"/>
            <w:hideMark/>
          </w:tcPr>
          <w:p w14:paraId="6539BC0F"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4%</w:t>
            </w:r>
          </w:p>
        </w:tc>
      </w:tr>
      <w:tr w:rsidR="00154DA6" w:rsidRPr="00124E1C" w14:paraId="669AD5F5"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196F24"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15</w:t>
            </w:r>
          </w:p>
        </w:tc>
        <w:tc>
          <w:tcPr>
            <w:tcW w:w="0" w:type="auto"/>
            <w:tcBorders>
              <w:top w:val="nil"/>
              <w:left w:val="nil"/>
              <w:bottom w:val="single" w:sz="4" w:space="0" w:color="auto"/>
              <w:right w:val="single" w:sz="4" w:space="0" w:color="auto"/>
            </w:tcBorders>
            <w:shd w:val="clear" w:color="auto" w:fill="auto"/>
            <w:vAlign w:val="center"/>
            <w:hideMark/>
          </w:tcPr>
          <w:p w14:paraId="5DC96243"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Comisión Presidencial por la Paz y los Derechos Humanos</w:t>
            </w:r>
          </w:p>
        </w:tc>
        <w:tc>
          <w:tcPr>
            <w:tcW w:w="0" w:type="auto"/>
            <w:tcBorders>
              <w:top w:val="nil"/>
              <w:left w:val="nil"/>
              <w:bottom w:val="single" w:sz="4" w:space="0" w:color="auto"/>
              <w:right w:val="single" w:sz="4" w:space="0" w:color="auto"/>
            </w:tcBorders>
            <w:shd w:val="clear" w:color="auto" w:fill="auto"/>
            <w:noWrap/>
            <w:vAlign w:val="center"/>
            <w:hideMark/>
          </w:tcPr>
          <w:p w14:paraId="11CB884C"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COPADEH</w:t>
            </w:r>
          </w:p>
        </w:tc>
        <w:tc>
          <w:tcPr>
            <w:tcW w:w="0" w:type="auto"/>
            <w:tcBorders>
              <w:top w:val="nil"/>
              <w:left w:val="nil"/>
              <w:bottom w:val="single" w:sz="4" w:space="0" w:color="auto"/>
              <w:right w:val="single" w:sz="4" w:space="0" w:color="auto"/>
            </w:tcBorders>
            <w:shd w:val="clear" w:color="auto" w:fill="auto"/>
            <w:vAlign w:val="center"/>
            <w:hideMark/>
          </w:tcPr>
          <w:p w14:paraId="48388AEC"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   </w:t>
            </w:r>
          </w:p>
        </w:tc>
        <w:tc>
          <w:tcPr>
            <w:tcW w:w="0" w:type="auto"/>
            <w:tcBorders>
              <w:top w:val="nil"/>
              <w:left w:val="nil"/>
              <w:bottom w:val="single" w:sz="4" w:space="0" w:color="auto"/>
              <w:right w:val="single" w:sz="4" w:space="0" w:color="auto"/>
            </w:tcBorders>
            <w:shd w:val="clear" w:color="auto" w:fill="auto"/>
            <w:vAlign w:val="center"/>
            <w:hideMark/>
          </w:tcPr>
          <w:p w14:paraId="3C366C3B"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5,857,555 </w:t>
            </w:r>
          </w:p>
        </w:tc>
        <w:tc>
          <w:tcPr>
            <w:tcW w:w="0" w:type="auto"/>
            <w:tcBorders>
              <w:top w:val="nil"/>
              <w:left w:val="nil"/>
              <w:bottom w:val="single" w:sz="4" w:space="0" w:color="auto"/>
              <w:right w:val="single" w:sz="4" w:space="0" w:color="auto"/>
            </w:tcBorders>
            <w:shd w:val="clear" w:color="auto" w:fill="auto"/>
            <w:vAlign w:val="center"/>
            <w:hideMark/>
          </w:tcPr>
          <w:p w14:paraId="0EE2EDE0"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624,327 </w:t>
            </w:r>
          </w:p>
        </w:tc>
        <w:tc>
          <w:tcPr>
            <w:tcW w:w="0" w:type="auto"/>
            <w:tcBorders>
              <w:top w:val="nil"/>
              <w:left w:val="nil"/>
              <w:bottom w:val="single" w:sz="4" w:space="0" w:color="auto"/>
              <w:right w:val="single" w:sz="4" w:space="0" w:color="auto"/>
            </w:tcBorders>
            <w:shd w:val="clear" w:color="auto" w:fill="auto"/>
            <w:vAlign w:val="center"/>
            <w:hideMark/>
          </w:tcPr>
          <w:p w14:paraId="32CC6711"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11%</w:t>
            </w:r>
          </w:p>
        </w:tc>
      </w:tr>
      <w:tr w:rsidR="00154DA6" w:rsidRPr="00124E1C" w14:paraId="041AD6C0"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F0F97"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lastRenderedPageBreak/>
              <w:t>16</w:t>
            </w:r>
          </w:p>
        </w:tc>
        <w:tc>
          <w:tcPr>
            <w:tcW w:w="0" w:type="auto"/>
            <w:tcBorders>
              <w:top w:val="nil"/>
              <w:left w:val="nil"/>
              <w:bottom w:val="single" w:sz="4" w:space="0" w:color="auto"/>
              <w:right w:val="single" w:sz="4" w:space="0" w:color="auto"/>
            </w:tcBorders>
            <w:shd w:val="clear" w:color="auto" w:fill="auto"/>
            <w:vAlign w:val="center"/>
            <w:hideMark/>
          </w:tcPr>
          <w:p w14:paraId="25D5E9CD"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Oficina Nacional de Servicio Civil</w:t>
            </w:r>
          </w:p>
        </w:tc>
        <w:tc>
          <w:tcPr>
            <w:tcW w:w="0" w:type="auto"/>
            <w:tcBorders>
              <w:top w:val="nil"/>
              <w:left w:val="nil"/>
              <w:bottom w:val="single" w:sz="4" w:space="0" w:color="auto"/>
              <w:right w:val="single" w:sz="4" w:space="0" w:color="auto"/>
            </w:tcBorders>
            <w:shd w:val="clear" w:color="auto" w:fill="auto"/>
            <w:noWrap/>
            <w:vAlign w:val="center"/>
            <w:hideMark/>
          </w:tcPr>
          <w:p w14:paraId="1A771E10"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ONSEC</w:t>
            </w:r>
          </w:p>
        </w:tc>
        <w:tc>
          <w:tcPr>
            <w:tcW w:w="0" w:type="auto"/>
            <w:tcBorders>
              <w:top w:val="nil"/>
              <w:left w:val="nil"/>
              <w:bottom w:val="single" w:sz="4" w:space="0" w:color="auto"/>
              <w:right w:val="single" w:sz="4" w:space="0" w:color="auto"/>
            </w:tcBorders>
            <w:shd w:val="clear" w:color="auto" w:fill="auto"/>
            <w:vAlign w:val="center"/>
            <w:hideMark/>
          </w:tcPr>
          <w:p w14:paraId="66C91551"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13,103,160 </w:t>
            </w:r>
          </w:p>
        </w:tc>
        <w:tc>
          <w:tcPr>
            <w:tcW w:w="0" w:type="auto"/>
            <w:tcBorders>
              <w:top w:val="nil"/>
              <w:left w:val="nil"/>
              <w:bottom w:val="single" w:sz="4" w:space="0" w:color="auto"/>
              <w:right w:val="single" w:sz="4" w:space="0" w:color="auto"/>
            </w:tcBorders>
            <w:shd w:val="clear" w:color="auto" w:fill="auto"/>
            <w:vAlign w:val="center"/>
            <w:hideMark/>
          </w:tcPr>
          <w:p w14:paraId="4B43A588"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10,947,344 </w:t>
            </w:r>
          </w:p>
        </w:tc>
        <w:tc>
          <w:tcPr>
            <w:tcW w:w="0" w:type="auto"/>
            <w:tcBorders>
              <w:top w:val="nil"/>
              <w:left w:val="nil"/>
              <w:bottom w:val="single" w:sz="4" w:space="0" w:color="auto"/>
              <w:right w:val="single" w:sz="4" w:space="0" w:color="auto"/>
            </w:tcBorders>
            <w:shd w:val="clear" w:color="auto" w:fill="auto"/>
            <w:vAlign w:val="center"/>
            <w:hideMark/>
          </w:tcPr>
          <w:p w14:paraId="7D323BD4"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4,355,358 </w:t>
            </w:r>
          </w:p>
        </w:tc>
        <w:tc>
          <w:tcPr>
            <w:tcW w:w="0" w:type="auto"/>
            <w:tcBorders>
              <w:top w:val="nil"/>
              <w:left w:val="nil"/>
              <w:bottom w:val="single" w:sz="4" w:space="0" w:color="auto"/>
              <w:right w:val="single" w:sz="4" w:space="0" w:color="auto"/>
            </w:tcBorders>
            <w:shd w:val="clear" w:color="auto" w:fill="auto"/>
            <w:vAlign w:val="center"/>
            <w:hideMark/>
          </w:tcPr>
          <w:p w14:paraId="0B2E23AA"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40%</w:t>
            </w:r>
          </w:p>
        </w:tc>
      </w:tr>
      <w:tr w:rsidR="00154DA6" w:rsidRPr="00124E1C" w14:paraId="2F115A8D"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D3AC0"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17</w:t>
            </w:r>
          </w:p>
        </w:tc>
        <w:tc>
          <w:tcPr>
            <w:tcW w:w="0" w:type="auto"/>
            <w:tcBorders>
              <w:top w:val="nil"/>
              <w:left w:val="nil"/>
              <w:bottom w:val="single" w:sz="4" w:space="0" w:color="auto"/>
              <w:right w:val="single" w:sz="4" w:space="0" w:color="auto"/>
            </w:tcBorders>
            <w:shd w:val="clear" w:color="auto" w:fill="auto"/>
            <w:vAlign w:val="center"/>
            <w:hideMark/>
          </w:tcPr>
          <w:p w14:paraId="54B397AA"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Secretaría de Bienestar Social</w:t>
            </w:r>
          </w:p>
        </w:tc>
        <w:tc>
          <w:tcPr>
            <w:tcW w:w="0" w:type="auto"/>
            <w:tcBorders>
              <w:top w:val="nil"/>
              <w:left w:val="nil"/>
              <w:bottom w:val="single" w:sz="4" w:space="0" w:color="auto"/>
              <w:right w:val="single" w:sz="4" w:space="0" w:color="auto"/>
            </w:tcBorders>
            <w:shd w:val="clear" w:color="auto" w:fill="auto"/>
            <w:noWrap/>
            <w:vAlign w:val="center"/>
            <w:hideMark/>
          </w:tcPr>
          <w:p w14:paraId="08CE2C47"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SBS</w:t>
            </w:r>
          </w:p>
        </w:tc>
        <w:tc>
          <w:tcPr>
            <w:tcW w:w="0" w:type="auto"/>
            <w:tcBorders>
              <w:top w:val="nil"/>
              <w:left w:val="nil"/>
              <w:bottom w:val="single" w:sz="4" w:space="0" w:color="auto"/>
              <w:right w:val="single" w:sz="4" w:space="0" w:color="auto"/>
            </w:tcBorders>
            <w:shd w:val="clear" w:color="auto" w:fill="auto"/>
            <w:vAlign w:val="center"/>
            <w:hideMark/>
          </w:tcPr>
          <w:p w14:paraId="68855943"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47,757,709 </w:t>
            </w:r>
          </w:p>
        </w:tc>
        <w:tc>
          <w:tcPr>
            <w:tcW w:w="0" w:type="auto"/>
            <w:tcBorders>
              <w:top w:val="nil"/>
              <w:left w:val="nil"/>
              <w:bottom w:val="single" w:sz="4" w:space="0" w:color="auto"/>
              <w:right w:val="single" w:sz="4" w:space="0" w:color="auto"/>
            </w:tcBorders>
            <w:shd w:val="clear" w:color="auto" w:fill="auto"/>
            <w:vAlign w:val="center"/>
            <w:hideMark/>
          </w:tcPr>
          <w:p w14:paraId="5EBE4564"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38,403,651 </w:t>
            </w:r>
          </w:p>
        </w:tc>
        <w:tc>
          <w:tcPr>
            <w:tcW w:w="0" w:type="auto"/>
            <w:tcBorders>
              <w:top w:val="nil"/>
              <w:left w:val="nil"/>
              <w:bottom w:val="single" w:sz="4" w:space="0" w:color="auto"/>
              <w:right w:val="single" w:sz="4" w:space="0" w:color="auto"/>
            </w:tcBorders>
            <w:shd w:val="clear" w:color="auto" w:fill="auto"/>
            <w:vAlign w:val="center"/>
            <w:hideMark/>
          </w:tcPr>
          <w:p w14:paraId="4478F64D"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16,751,412 </w:t>
            </w:r>
          </w:p>
        </w:tc>
        <w:tc>
          <w:tcPr>
            <w:tcW w:w="0" w:type="auto"/>
            <w:tcBorders>
              <w:top w:val="nil"/>
              <w:left w:val="nil"/>
              <w:bottom w:val="single" w:sz="4" w:space="0" w:color="auto"/>
              <w:right w:val="single" w:sz="4" w:space="0" w:color="auto"/>
            </w:tcBorders>
            <w:shd w:val="clear" w:color="auto" w:fill="auto"/>
            <w:vAlign w:val="center"/>
            <w:hideMark/>
          </w:tcPr>
          <w:p w14:paraId="6F8DD42B"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44%</w:t>
            </w:r>
          </w:p>
        </w:tc>
      </w:tr>
      <w:tr w:rsidR="00154DA6" w:rsidRPr="00124E1C" w14:paraId="6DC3E023" w14:textId="77777777" w:rsidTr="004A5A03">
        <w:trPr>
          <w:trHeight w:val="4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CBA079"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18</w:t>
            </w:r>
          </w:p>
        </w:tc>
        <w:tc>
          <w:tcPr>
            <w:tcW w:w="0" w:type="auto"/>
            <w:tcBorders>
              <w:top w:val="nil"/>
              <w:left w:val="nil"/>
              <w:bottom w:val="single" w:sz="4" w:space="0" w:color="auto"/>
              <w:right w:val="single" w:sz="4" w:space="0" w:color="auto"/>
            </w:tcBorders>
            <w:shd w:val="clear" w:color="auto" w:fill="auto"/>
            <w:vAlign w:val="center"/>
            <w:hideMark/>
          </w:tcPr>
          <w:p w14:paraId="69D82635"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Secretaría Presidencial de la Mujer</w:t>
            </w:r>
          </w:p>
        </w:tc>
        <w:tc>
          <w:tcPr>
            <w:tcW w:w="0" w:type="auto"/>
            <w:tcBorders>
              <w:top w:val="nil"/>
              <w:left w:val="nil"/>
              <w:bottom w:val="single" w:sz="4" w:space="0" w:color="auto"/>
              <w:right w:val="single" w:sz="4" w:space="0" w:color="auto"/>
            </w:tcBorders>
            <w:shd w:val="clear" w:color="auto" w:fill="auto"/>
            <w:noWrap/>
            <w:vAlign w:val="center"/>
            <w:hideMark/>
          </w:tcPr>
          <w:p w14:paraId="243EC0CF"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SEPREM</w:t>
            </w:r>
          </w:p>
        </w:tc>
        <w:tc>
          <w:tcPr>
            <w:tcW w:w="0" w:type="auto"/>
            <w:tcBorders>
              <w:top w:val="nil"/>
              <w:left w:val="nil"/>
              <w:bottom w:val="single" w:sz="4" w:space="0" w:color="auto"/>
              <w:right w:val="single" w:sz="4" w:space="0" w:color="auto"/>
            </w:tcBorders>
            <w:shd w:val="clear" w:color="auto" w:fill="auto"/>
            <w:vAlign w:val="center"/>
            <w:hideMark/>
          </w:tcPr>
          <w:p w14:paraId="16777ADA"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28,558,000 </w:t>
            </w:r>
          </w:p>
        </w:tc>
        <w:tc>
          <w:tcPr>
            <w:tcW w:w="0" w:type="auto"/>
            <w:tcBorders>
              <w:top w:val="nil"/>
              <w:left w:val="nil"/>
              <w:bottom w:val="single" w:sz="4" w:space="0" w:color="auto"/>
              <w:right w:val="single" w:sz="4" w:space="0" w:color="auto"/>
            </w:tcBorders>
            <w:shd w:val="clear" w:color="auto" w:fill="auto"/>
            <w:vAlign w:val="center"/>
            <w:hideMark/>
          </w:tcPr>
          <w:p w14:paraId="00B0B2C6"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28,558,000 </w:t>
            </w:r>
          </w:p>
        </w:tc>
        <w:tc>
          <w:tcPr>
            <w:tcW w:w="0" w:type="auto"/>
            <w:tcBorders>
              <w:top w:val="nil"/>
              <w:left w:val="nil"/>
              <w:bottom w:val="single" w:sz="4" w:space="0" w:color="auto"/>
              <w:right w:val="single" w:sz="4" w:space="0" w:color="auto"/>
            </w:tcBorders>
            <w:shd w:val="clear" w:color="auto" w:fill="auto"/>
            <w:vAlign w:val="center"/>
            <w:hideMark/>
          </w:tcPr>
          <w:p w14:paraId="15C7048A" w14:textId="77777777" w:rsidR="00154DA6" w:rsidRPr="00124E1C" w:rsidRDefault="00154DA6" w:rsidP="00AD52FD">
            <w:pPr>
              <w:spacing w:after="0" w:line="240" w:lineRule="auto"/>
              <w:rPr>
                <w:rFonts w:eastAsia="Times New Roman" w:cs="Times New Roman"/>
                <w:color w:val="000000"/>
                <w:sz w:val="14"/>
                <w:szCs w:val="20"/>
                <w:lang w:eastAsia="es-GT"/>
              </w:rPr>
            </w:pPr>
            <w:r w:rsidRPr="00124E1C">
              <w:rPr>
                <w:rFonts w:eastAsia="Times New Roman" w:cs="Times New Roman"/>
                <w:color w:val="000000"/>
                <w:sz w:val="14"/>
                <w:szCs w:val="20"/>
                <w:lang w:eastAsia="es-GT"/>
              </w:rPr>
              <w:t xml:space="preserve"> Q          8,006,659 </w:t>
            </w:r>
          </w:p>
        </w:tc>
        <w:tc>
          <w:tcPr>
            <w:tcW w:w="0" w:type="auto"/>
            <w:tcBorders>
              <w:top w:val="nil"/>
              <w:left w:val="nil"/>
              <w:bottom w:val="single" w:sz="4" w:space="0" w:color="auto"/>
              <w:right w:val="single" w:sz="4" w:space="0" w:color="auto"/>
            </w:tcBorders>
            <w:shd w:val="clear" w:color="auto" w:fill="auto"/>
            <w:vAlign w:val="center"/>
            <w:hideMark/>
          </w:tcPr>
          <w:p w14:paraId="0F05D4DD" w14:textId="77777777" w:rsidR="00154DA6" w:rsidRPr="00124E1C" w:rsidRDefault="00154DA6" w:rsidP="00AD52FD">
            <w:pPr>
              <w:spacing w:after="0" w:line="240" w:lineRule="auto"/>
              <w:jc w:val="center"/>
              <w:rPr>
                <w:rFonts w:eastAsia="Times New Roman" w:cs="Times New Roman"/>
                <w:color w:val="000000"/>
                <w:sz w:val="14"/>
                <w:szCs w:val="20"/>
                <w:lang w:eastAsia="es-GT"/>
              </w:rPr>
            </w:pPr>
            <w:r w:rsidRPr="00124E1C">
              <w:rPr>
                <w:rFonts w:eastAsia="Times New Roman" w:cs="Times New Roman"/>
                <w:color w:val="000000"/>
                <w:sz w:val="14"/>
                <w:szCs w:val="20"/>
                <w:lang w:eastAsia="es-GT"/>
              </w:rPr>
              <w:t>28%</w:t>
            </w:r>
          </w:p>
        </w:tc>
      </w:tr>
    </w:tbl>
    <w:p w14:paraId="674F2946" w14:textId="48AE3BAF" w:rsidR="00687CCD" w:rsidRPr="00387A2F" w:rsidRDefault="00387A2F" w:rsidP="00387A2F">
      <w:pPr>
        <w:spacing w:after="0" w:line="240" w:lineRule="auto"/>
        <w:rPr>
          <w:rFonts w:ascii="Calibri" w:eastAsia="Times New Roman" w:hAnsi="Calibri" w:cs="Times New Roman"/>
          <w:b/>
          <w:bCs/>
          <w:color w:val="000000"/>
          <w:sz w:val="18"/>
          <w:szCs w:val="18"/>
          <w:lang w:eastAsia="es-GT"/>
        </w:rPr>
      </w:pPr>
      <w:r w:rsidRPr="00387A2F">
        <w:rPr>
          <w:color w:val="231F20"/>
          <w:sz w:val="18"/>
          <w:szCs w:val="18"/>
        </w:rPr>
        <w:t>Fuente: Sistema de Contabilidad Integrada (SICOIN),</w:t>
      </w:r>
      <w:r w:rsidR="0028300D">
        <w:rPr>
          <w:color w:val="231F20"/>
          <w:sz w:val="18"/>
          <w:szCs w:val="18"/>
        </w:rPr>
        <w:t xml:space="preserve"> del 1 de enero al 30 de junio</w:t>
      </w:r>
      <w:r w:rsidRPr="00387A2F">
        <w:rPr>
          <w:color w:val="231F20"/>
          <w:sz w:val="18"/>
          <w:szCs w:val="18"/>
        </w:rPr>
        <w:t xml:space="preserve"> del 2021</w:t>
      </w:r>
    </w:p>
    <w:p w14:paraId="48DDED92" w14:textId="04EFD335" w:rsidR="002863EB" w:rsidRDefault="002863EB" w:rsidP="00153122">
      <w:pPr>
        <w:tabs>
          <w:tab w:val="left" w:pos="2190"/>
        </w:tabs>
        <w:spacing w:after="0" w:line="360" w:lineRule="auto"/>
      </w:pPr>
    </w:p>
    <w:p w14:paraId="26DAD72F" w14:textId="7531F6FB" w:rsidR="00511AAF" w:rsidRDefault="000F20FA" w:rsidP="005C28D3">
      <w:pPr>
        <w:spacing w:after="0" w:line="360" w:lineRule="auto"/>
        <w:jc w:val="both"/>
      </w:pPr>
      <w:r>
        <w:t>Como puede observarse</w:t>
      </w:r>
      <w:r w:rsidR="008745DD">
        <w:t xml:space="preserve"> en la Tabla 2,</w:t>
      </w:r>
      <w:r>
        <w:t xml:space="preserve"> </w:t>
      </w:r>
      <w:r w:rsidR="00B65FA5">
        <w:t>18</w:t>
      </w:r>
      <w:r w:rsidR="005C28D3">
        <w:t xml:space="preserve"> </w:t>
      </w:r>
      <w:r w:rsidR="00CE0B55">
        <w:t xml:space="preserve">instituciones </w:t>
      </w:r>
      <w:r w:rsidR="00DA1624">
        <w:t>centralizadas registraron</w:t>
      </w:r>
      <w:r w:rsidR="00BA7CEB">
        <w:t xml:space="preserve"> producción institucional </w:t>
      </w:r>
      <w:r w:rsidR="009A246D">
        <w:t>vincula</w:t>
      </w:r>
      <w:r w:rsidR="00BA7CEB">
        <w:t>da</w:t>
      </w:r>
      <w:r w:rsidR="009A246D">
        <w:t xml:space="preserve"> al CPEG</w:t>
      </w:r>
      <w:r w:rsidR="00B65FA5">
        <w:t>.</w:t>
      </w:r>
      <w:r w:rsidR="004E33E0">
        <w:t xml:space="preserve"> </w:t>
      </w:r>
      <w:r w:rsidR="00511AAF">
        <w:t>La mayoría de ellas presentan una ejecución mayor al 35% para el primer semestre.</w:t>
      </w:r>
    </w:p>
    <w:p w14:paraId="607389D1" w14:textId="77777777" w:rsidR="00511AAF" w:rsidRDefault="00511AAF" w:rsidP="005C28D3">
      <w:pPr>
        <w:spacing w:after="0" w:line="360" w:lineRule="auto"/>
        <w:jc w:val="both"/>
      </w:pPr>
    </w:p>
    <w:p w14:paraId="70034B39" w14:textId="52A19F47" w:rsidR="00897963" w:rsidRDefault="008502E3" w:rsidP="005C28D3">
      <w:pPr>
        <w:spacing w:after="0" w:line="360" w:lineRule="auto"/>
        <w:jc w:val="both"/>
        <w:rPr>
          <w:rFonts w:ascii="Calibri" w:eastAsia="Times New Roman" w:hAnsi="Calibri" w:cs="Times New Roman"/>
          <w:color w:val="000000"/>
          <w:lang w:eastAsia="es-GT"/>
        </w:rPr>
      </w:pPr>
      <w:r>
        <w:rPr>
          <w:rFonts w:ascii="Calibri" w:eastAsia="Times New Roman" w:hAnsi="Calibri" w:cs="Times New Roman"/>
          <w:color w:val="000000"/>
          <w:lang w:eastAsia="es-GT"/>
        </w:rPr>
        <w:t xml:space="preserve">En la Grafica 1 se presenta </w:t>
      </w:r>
      <w:r w:rsidR="00BA7CEB">
        <w:rPr>
          <w:rFonts w:ascii="Calibri" w:eastAsia="Times New Roman" w:hAnsi="Calibri" w:cs="Times New Roman"/>
          <w:color w:val="000000"/>
          <w:lang w:eastAsia="es-GT"/>
        </w:rPr>
        <w:t xml:space="preserve">un comparativo entre </w:t>
      </w:r>
      <w:r>
        <w:rPr>
          <w:rFonts w:ascii="Calibri" w:eastAsia="Times New Roman" w:hAnsi="Calibri" w:cs="Times New Roman"/>
          <w:color w:val="000000"/>
          <w:lang w:eastAsia="es-GT"/>
        </w:rPr>
        <w:t>el presupuesto asignado, vigente y ejecutado</w:t>
      </w:r>
      <w:r w:rsidR="00DA1624">
        <w:rPr>
          <w:rFonts w:ascii="Calibri" w:eastAsia="Times New Roman" w:hAnsi="Calibri" w:cs="Times New Roman"/>
          <w:color w:val="000000"/>
          <w:lang w:eastAsia="es-GT"/>
        </w:rPr>
        <w:t xml:space="preserve"> para las instituciones centralizadas</w:t>
      </w:r>
      <w:r>
        <w:rPr>
          <w:rFonts w:ascii="Calibri" w:eastAsia="Times New Roman" w:hAnsi="Calibri" w:cs="Times New Roman"/>
          <w:color w:val="000000"/>
          <w:lang w:eastAsia="es-GT"/>
        </w:rPr>
        <w:t xml:space="preserve">. La entidad que mayor presupuesto asignó fue </w:t>
      </w:r>
      <w:r w:rsidR="00DA1624">
        <w:rPr>
          <w:rFonts w:ascii="Calibri" w:eastAsia="Times New Roman" w:hAnsi="Calibri" w:cs="Times New Roman"/>
          <w:color w:val="000000"/>
          <w:lang w:eastAsia="es-GT"/>
        </w:rPr>
        <w:t xml:space="preserve">el Ministerio de Gobernación - </w:t>
      </w:r>
      <w:r w:rsidR="00B01118">
        <w:rPr>
          <w:rFonts w:ascii="Segoe UI" w:hAnsi="Segoe UI" w:cs="Segoe UI"/>
          <w:color w:val="000000"/>
          <w:sz w:val="20"/>
          <w:szCs w:val="20"/>
        </w:rPr>
        <w:t xml:space="preserve">-MINGOB- </w:t>
      </w:r>
      <w:r w:rsidR="00DA1624">
        <w:rPr>
          <w:rFonts w:ascii="Calibri" w:eastAsia="Times New Roman" w:hAnsi="Calibri" w:cs="Times New Roman"/>
          <w:color w:val="000000"/>
          <w:lang w:eastAsia="es-GT"/>
        </w:rPr>
        <w:t xml:space="preserve">sin </w:t>
      </w:r>
      <w:r w:rsidR="00DA1624" w:rsidRPr="00897963">
        <w:rPr>
          <w:rFonts w:ascii="Calibri" w:eastAsia="Times New Roman" w:hAnsi="Calibri" w:cs="Times New Roman"/>
          <w:color w:val="000000"/>
          <w:lang w:eastAsia="es-GT"/>
        </w:rPr>
        <w:t xml:space="preserve">embargo, esta vinculación responde al Grupo </w:t>
      </w:r>
      <w:r w:rsidR="00DA1624">
        <w:rPr>
          <w:rFonts w:ascii="Calibri" w:eastAsia="Times New Roman" w:hAnsi="Calibri" w:cs="Times New Roman"/>
          <w:color w:val="000000"/>
          <w:lang w:eastAsia="es-GT"/>
        </w:rPr>
        <w:t xml:space="preserve">1 </w:t>
      </w:r>
      <w:r w:rsidR="00DA1624" w:rsidRPr="00897963">
        <w:rPr>
          <w:rFonts w:ascii="Calibri" w:eastAsia="Times New Roman" w:hAnsi="Calibri" w:cs="Times New Roman"/>
          <w:color w:val="000000"/>
          <w:lang w:eastAsia="es-GT"/>
        </w:rPr>
        <w:t>de gasto que refiere al pago de personal</w:t>
      </w:r>
      <w:r w:rsidR="00BA7CEB">
        <w:rPr>
          <w:rFonts w:ascii="Calibri" w:eastAsia="Times New Roman" w:hAnsi="Calibri" w:cs="Times New Roman"/>
          <w:color w:val="000000"/>
          <w:lang w:eastAsia="es-GT"/>
        </w:rPr>
        <w:t>,</w:t>
      </w:r>
      <w:r>
        <w:rPr>
          <w:rFonts w:ascii="Calibri" w:eastAsia="Times New Roman" w:hAnsi="Calibri" w:cs="Times New Roman"/>
          <w:color w:val="000000"/>
          <w:lang w:eastAsia="es-GT"/>
        </w:rPr>
        <w:t xml:space="preserve"> siendo así mis</w:t>
      </w:r>
      <w:r w:rsidR="008745DD">
        <w:rPr>
          <w:rFonts w:ascii="Calibri" w:eastAsia="Times New Roman" w:hAnsi="Calibri" w:cs="Times New Roman"/>
          <w:color w:val="000000"/>
          <w:lang w:eastAsia="es-GT"/>
        </w:rPr>
        <w:t>m</w:t>
      </w:r>
      <w:r>
        <w:rPr>
          <w:rFonts w:ascii="Calibri" w:eastAsia="Times New Roman" w:hAnsi="Calibri" w:cs="Times New Roman"/>
          <w:color w:val="000000"/>
          <w:lang w:eastAsia="es-GT"/>
        </w:rPr>
        <w:t>o</w:t>
      </w:r>
      <w:r w:rsidR="00DA1624">
        <w:rPr>
          <w:rFonts w:ascii="Calibri" w:eastAsia="Times New Roman" w:hAnsi="Calibri" w:cs="Times New Roman"/>
          <w:color w:val="000000"/>
          <w:lang w:eastAsia="es-GT"/>
        </w:rPr>
        <w:t xml:space="preserve"> MINGOB</w:t>
      </w:r>
      <w:r w:rsidR="00BA7CEB">
        <w:rPr>
          <w:rFonts w:ascii="Calibri" w:eastAsia="Times New Roman" w:hAnsi="Calibri" w:cs="Times New Roman"/>
          <w:color w:val="000000"/>
          <w:lang w:eastAsia="es-GT"/>
        </w:rPr>
        <w:t>,</w:t>
      </w:r>
      <w:r>
        <w:rPr>
          <w:rFonts w:ascii="Calibri" w:eastAsia="Times New Roman" w:hAnsi="Calibri" w:cs="Times New Roman"/>
          <w:color w:val="000000"/>
          <w:lang w:eastAsia="es-GT"/>
        </w:rPr>
        <w:t xml:space="preserve"> la entidad que </w:t>
      </w:r>
      <w:r w:rsidR="00BA7CEB">
        <w:rPr>
          <w:rFonts w:ascii="Calibri" w:eastAsia="Times New Roman" w:hAnsi="Calibri" w:cs="Times New Roman"/>
          <w:color w:val="000000"/>
          <w:lang w:eastAsia="es-GT"/>
        </w:rPr>
        <w:t xml:space="preserve">en términos nominales registra la mayor </w:t>
      </w:r>
      <w:r>
        <w:rPr>
          <w:rFonts w:ascii="Calibri" w:eastAsia="Times New Roman" w:hAnsi="Calibri" w:cs="Times New Roman"/>
          <w:color w:val="000000"/>
          <w:lang w:eastAsia="es-GT"/>
        </w:rPr>
        <w:t>disminu</w:t>
      </w:r>
      <w:r w:rsidR="00BA7CEB">
        <w:rPr>
          <w:rFonts w:ascii="Calibri" w:eastAsia="Times New Roman" w:hAnsi="Calibri" w:cs="Times New Roman"/>
          <w:color w:val="000000"/>
          <w:lang w:eastAsia="es-GT"/>
        </w:rPr>
        <w:t xml:space="preserve">ción de </w:t>
      </w:r>
      <w:r w:rsidR="00DA1624">
        <w:rPr>
          <w:rFonts w:ascii="Calibri" w:eastAsia="Times New Roman" w:hAnsi="Calibri" w:cs="Times New Roman"/>
          <w:color w:val="000000"/>
          <w:lang w:eastAsia="es-GT"/>
        </w:rPr>
        <w:t>recursos durante</w:t>
      </w:r>
      <w:r>
        <w:rPr>
          <w:rFonts w:ascii="Calibri" w:eastAsia="Times New Roman" w:hAnsi="Calibri" w:cs="Times New Roman"/>
          <w:color w:val="000000"/>
          <w:lang w:eastAsia="es-GT"/>
        </w:rPr>
        <w:t xml:space="preserve"> el primer semestre del ejercicio fiscal 2021.</w:t>
      </w:r>
      <w:r w:rsidR="00DA1624" w:rsidRPr="00897963" w:rsidDel="00DA1624">
        <w:rPr>
          <w:rFonts w:ascii="Calibri" w:eastAsia="Times New Roman" w:hAnsi="Calibri" w:cs="Times New Roman"/>
          <w:color w:val="000000"/>
          <w:lang w:eastAsia="es-GT"/>
        </w:rPr>
        <w:t xml:space="preserve"> </w:t>
      </w:r>
    </w:p>
    <w:p w14:paraId="0AC52197" w14:textId="77777777" w:rsidR="008502E3" w:rsidRDefault="008502E3" w:rsidP="00DA1624">
      <w:pPr>
        <w:spacing w:after="0" w:line="360" w:lineRule="auto"/>
        <w:jc w:val="both"/>
        <w:rPr>
          <w:rFonts w:ascii="Calibri" w:eastAsia="Times New Roman" w:hAnsi="Calibri" w:cs="Times New Roman"/>
          <w:color w:val="000000"/>
          <w:lang w:eastAsia="es-GT"/>
        </w:rPr>
      </w:pPr>
    </w:p>
    <w:p w14:paraId="742DB872" w14:textId="7B0A9BE2" w:rsidR="00692BFD" w:rsidRDefault="00B952F3" w:rsidP="004E33E0">
      <w:pPr>
        <w:spacing w:after="0" w:line="360" w:lineRule="auto"/>
        <w:jc w:val="center"/>
        <w:rPr>
          <w:rFonts w:ascii="Calibri" w:eastAsia="Times New Roman" w:hAnsi="Calibri" w:cs="Times New Roman"/>
          <w:b/>
          <w:bCs/>
          <w:color w:val="000000"/>
          <w:lang w:eastAsia="es-GT"/>
        </w:rPr>
      </w:pPr>
      <w:r w:rsidRPr="00B952F3">
        <w:rPr>
          <w:rFonts w:ascii="Calibri" w:eastAsia="Times New Roman" w:hAnsi="Calibri" w:cs="Times New Roman"/>
          <w:b/>
          <w:bCs/>
          <w:color w:val="000000"/>
          <w:lang w:eastAsia="es-GT"/>
        </w:rPr>
        <w:t>Grafica 1</w:t>
      </w:r>
    </w:p>
    <w:p w14:paraId="6ED831F9" w14:textId="77777777" w:rsidR="00632231" w:rsidRPr="00337B99" w:rsidRDefault="00632231" w:rsidP="00632231">
      <w:pPr>
        <w:spacing w:after="0" w:line="240" w:lineRule="auto"/>
        <w:jc w:val="center"/>
        <w:rPr>
          <w:rFonts w:ascii="Calibri" w:eastAsia="Times New Roman" w:hAnsi="Calibri" w:cs="Times New Roman"/>
          <w:b/>
          <w:bCs/>
          <w:color w:val="000000"/>
          <w:lang w:eastAsia="es-GT"/>
        </w:rPr>
      </w:pPr>
      <w:r w:rsidRPr="00337B99">
        <w:rPr>
          <w:rFonts w:ascii="Calibri" w:eastAsia="Times New Roman" w:hAnsi="Calibri" w:cs="Times New Roman"/>
          <w:b/>
          <w:bCs/>
          <w:color w:val="000000"/>
          <w:lang w:eastAsia="es-GT"/>
        </w:rPr>
        <w:t>Presupuesto Vinculado al CPEG en el Primer Semestre 2021</w:t>
      </w:r>
    </w:p>
    <w:p w14:paraId="770205FB" w14:textId="4EFBEE6B" w:rsidR="00632231" w:rsidRDefault="00632231" w:rsidP="00632231">
      <w:pPr>
        <w:spacing w:after="0" w:line="240" w:lineRule="auto"/>
        <w:jc w:val="center"/>
        <w:rPr>
          <w:rFonts w:ascii="Calibri" w:eastAsia="Times New Roman" w:hAnsi="Calibri" w:cs="Times New Roman"/>
          <w:b/>
          <w:bCs/>
          <w:color w:val="000000"/>
          <w:lang w:eastAsia="es-GT"/>
        </w:rPr>
      </w:pPr>
      <w:r w:rsidRPr="00337B99">
        <w:rPr>
          <w:rFonts w:ascii="Calibri" w:eastAsia="Times New Roman" w:hAnsi="Calibri" w:cs="Times New Roman"/>
          <w:b/>
          <w:bCs/>
          <w:color w:val="000000"/>
          <w:lang w:eastAsia="es-GT"/>
        </w:rPr>
        <w:t xml:space="preserve">Instituciones </w:t>
      </w:r>
      <w:r w:rsidR="00FE19A8">
        <w:rPr>
          <w:rFonts w:ascii="Calibri" w:eastAsia="Times New Roman" w:hAnsi="Calibri" w:cs="Times New Roman"/>
          <w:b/>
          <w:bCs/>
          <w:color w:val="000000"/>
          <w:lang w:eastAsia="es-GT"/>
        </w:rPr>
        <w:t xml:space="preserve">centralizadas </w:t>
      </w:r>
      <w:r>
        <w:rPr>
          <w:rFonts w:ascii="Calibri" w:eastAsia="Times New Roman" w:hAnsi="Calibri" w:cs="Times New Roman"/>
          <w:b/>
          <w:bCs/>
          <w:color w:val="000000"/>
          <w:lang w:eastAsia="es-GT"/>
        </w:rPr>
        <w:t xml:space="preserve">de Gobierno </w:t>
      </w:r>
      <w:r w:rsidR="002A3678">
        <w:rPr>
          <w:rFonts w:ascii="Calibri" w:eastAsia="Times New Roman" w:hAnsi="Calibri" w:cs="Times New Roman"/>
          <w:b/>
          <w:bCs/>
          <w:color w:val="000000"/>
          <w:lang w:eastAsia="es-GT"/>
        </w:rPr>
        <w:t>de Administración Central</w:t>
      </w:r>
    </w:p>
    <w:p w14:paraId="610B18EC" w14:textId="77777777" w:rsidR="00632231" w:rsidRPr="004E33E0" w:rsidRDefault="00632231" w:rsidP="004E33E0">
      <w:pPr>
        <w:spacing w:after="0" w:line="360" w:lineRule="auto"/>
        <w:jc w:val="center"/>
        <w:rPr>
          <w:rFonts w:ascii="Calibri" w:eastAsia="Times New Roman" w:hAnsi="Calibri" w:cs="Times New Roman"/>
          <w:b/>
          <w:bCs/>
          <w:color w:val="000000"/>
          <w:lang w:eastAsia="es-GT"/>
        </w:rPr>
      </w:pPr>
    </w:p>
    <w:p w14:paraId="2C2FE0AF" w14:textId="28CA46AF" w:rsidR="00692BFD" w:rsidRDefault="004E33E0" w:rsidP="008A3C8F">
      <w:pPr>
        <w:spacing w:after="0" w:line="360" w:lineRule="auto"/>
        <w:jc w:val="center"/>
        <w:rPr>
          <w:rFonts w:ascii="Calibri" w:eastAsia="Times New Roman" w:hAnsi="Calibri" w:cs="Times New Roman"/>
          <w:color w:val="000000"/>
          <w:lang w:eastAsia="es-GT"/>
        </w:rPr>
      </w:pPr>
      <w:r>
        <w:rPr>
          <w:noProof/>
          <w:lang w:eastAsia="es-GT"/>
        </w:rPr>
        <w:drawing>
          <wp:inline distT="0" distB="0" distL="0" distR="0" wp14:anchorId="73065F05" wp14:editId="38278D3E">
            <wp:extent cx="5040630" cy="2476500"/>
            <wp:effectExtent l="0" t="0" r="7620" b="0"/>
            <wp:docPr id="4" name="Gráfico 4">
              <a:extLst xmlns:a="http://schemas.openxmlformats.org/drawingml/2006/main">
                <a:ext uri="{FF2B5EF4-FFF2-40B4-BE49-F238E27FC236}">
                  <a16:creationId xmlns:a16="http://schemas.microsoft.com/office/drawing/2014/main" id="{BCD0A964-F720-4804-B058-629901056F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C03BFD" w14:textId="77777777" w:rsidR="004E33E0" w:rsidRDefault="004E33E0" w:rsidP="005C28D3">
      <w:pPr>
        <w:spacing w:after="0" w:line="360" w:lineRule="auto"/>
        <w:jc w:val="both"/>
        <w:rPr>
          <w:rFonts w:ascii="Calibri" w:eastAsia="Times New Roman" w:hAnsi="Calibri" w:cs="Times New Roman"/>
          <w:color w:val="000000"/>
          <w:lang w:eastAsia="es-GT"/>
        </w:rPr>
      </w:pPr>
    </w:p>
    <w:p w14:paraId="2EE0A6D2" w14:textId="57A19C56" w:rsidR="00511AAF" w:rsidRDefault="00565EF9" w:rsidP="005C28D3">
      <w:pPr>
        <w:spacing w:after="0" w:line="360" w:lineRule="auto"/>
        <w:jc w:val="both"/>
        <w:rPr>
          <w:rFonts w:ascii="Calibri" w:eastAsia="Times New Roman" w:hAnsi="Calibri" w:cs="Times New Roman"/>
          <w:color w:val="000000"/>
          <w:lang w:eastAsia="es-GT"/>
        </w:rPr>
      </w:pPr>
      <w:r>
        <w:rPr>
          <w:rFonts w:ascii="Calibri" w:eastAsia="Times New Roman" w:hAnsi="Calibri" w:cs="Times New Roman"/>
          <w:color w:val="000000"/>
          <w:lang w:eastAsia="es-GT"/>
        </w:rPr>
        <w:lastRenderedPageBreak/>
        <w:t>En la</w:t>
      </w:r>
      <w:r w:rsidR="00C04673">
        <w:rPr>
          <w:rFonts w:ascii="Calibri" w:eastAsia="Times New Roman" w:hAnsi="Calibri" w:cs="Times New Roman"/>
          <w:color w:val="000000"/>
          <w:lang w:eastAsia="es-GT"/>
        </w:rPr>
        <w:t xml:space="preserve"> tabla 3 se observa la</w:t>
      </w:r>
      <w:r>
        <w:rPr>
          <w:rFonts w:ascii="Calibri" w:eastAsia="Times New Roman" w:hAnsi="Calibri" w:cs="Times New Roman"/>
          <w:color w:val="000000"/>
          <w:lang w:eastAsia="es-GT"/>
        </w:rPr>
        <w:t xml:space="preserve"> vinculación al CPEG </w:t>
      </w:r>
      <w:r w:rsidR="00841ED0">
        <w:rPr>
          <w:rFonts w:ascii="Calibri" w:eastAsia="Times New Roman" w:hAnsi="Calibri" w:cs="Times New Roman"/>
          <w:color w:val="000000"/>
          <w:lang w:eastAsia="es-GT"/>
        </w:rPr>
        <w:t xml:space="preserve">según beneficiarios, </w:t>
      </w:r>
      <w:r>
        <w:rPr>
          <w:rFonts w:ascii="Calibri" w:eastAsia="Times New Roman" w:hAnsi="Calibri" w:cs="Times New Roman"/>
          <w:color w:val="000000"/>
          <w:lang w:eastAsia="es-GT"/>
        </w:rPr>
        <w:t>que realiz</w:t>
      </w:r>
      <w:r w:rsidR="00841ED0">
        <w:rPr>
          <w:rFonts w:ascii="Calibri" w:eastAsia="Times New Roman" w:hAnsi="Calibri" w:cs="Times New Roman"/>
          <w:color w:val="000000"/>
          <w:lang w:eastAsia="es-GT"/>
        </w:rPr>
        <w:t>aron</w:t>
      </w:r>
      <w:r w:rsidR="00C04673">
        <w:rPr>
          <w:rFonts w:ascii="Calibri" w:eastAsia="Times New Roman" w:hAnsi="Calibri" w:cs="Times New Roman"/>
          <w:color w:val="000000"/>
          <w:lang w:eastAsia="es-GT"/>
        </w:rPr>
        <w:t xml:space="preserve"> las entidades de gobierno de </w:t>
      </w:r>
      <w:r w:rsidR="00841ED0">
        <w:rPr>
          <w:rFonts w:ascii="Calibri" w:eastAsia="Times New Roman" w:hAnsi="Calibri" w:cs="Times New Roman"/>
          <w:color w:val="000000"/>
          <w:lang w:eastAsia="es-GT"/>
        </w:rPr>
        <w:t xml:space="preserve">la </w:t>
      </w:r>
      <w:r w:rsidR="00C04673">
        <w:rPr>
          <w:rFonts w:ascii="Calibri" w:eastAsia="Times New Roman" w:hAnsi="Calibri" w:cs="Times New Roman"/>
          <w:color w:val="000000"/>
          <w:lang w:eastAsia="es-GT"/>
        </w:rPr>
        <w:t>Administración central</w:t>
      </w:r>
      <w:r>
        <w:rPr>
          <w:rFonts w:ascii="Calibri" w:eastAsia="Times New Roman" w:hAnsi="Calibri" w:cs="Times New Roman"/>
          <w:color w:val="000000"/>
          <w:lang w:eastAsia="es-GT"/>
        </w:rPr>
        <w:t>,</w:t>
      </w:r>
      <w:r w:rsidR="00C04673">
        <w:rPr>
          <w:rFonts w:ascii="Calibri" w:eastAsia="Times New Roman" w:hAnsi="Calibri" w:cs="Times New Roman"/>
          <w:color w:val="000000"/>
          <w:lang w:eastAsia="es-GT"/>
        </w:rPr>
        <w:t xml:space="preserve"> observándose </w:t>
      </w:r>
      <w:r w:rsidR="008A3C8F">
        <w:rPr>
          <w:rFonts w:ascii="Calibri" w:eastAsia="Times New Roman" w:hAnsi="Calibri" w:cs="Times New Roman"/>
          <w:color w:val="000000"/>
          <w:lang w:eastAsia="es-GT"/>
        </w:rPr>
        <w:t>que,</w:t>
      </w:r>
      <w:r w:rsidR="00511AAF">
        <w:rPr>
          <w:rFonts w:ascii="Calibri" w:eastAsia="Times New Roman" w:hAnsi="Calibri" w:cs="Times New Roman"/>
          <w:color w:val="000000"/>
          <w:lang w:eastAsia="es-GT"/>
        </w:rPr>
        <w:t xml:space="preserve"> </w:t>
      </w:r>
      <w:r>
        <w:rPr>
          <w:rFonts w:ascii="Calibri" w:eastAsia="Times New Roman" w:hAnsi="Calibri" w:cs="Times New Roman"/>
          <w:color w:val="000000"/>
          <w:lang w:eastAsia="es-GT"/>
        </w:rPr>
        <w:t xml:space="preserve">el mayor monto se </w:t>
      </w:r>
      <w:r w:rsidR="00841ED0">
        <w:rPr>
          <w:rFonts w:ascii="Calibri" w:eastAsia="Times New Roman" w:hAnsi="Calibri" w:cs="Times New Roman"/>
          <w:color w:val="000000"/>
          <w:lang w:eastAsia="es-GT"/>
        </w:rPr>
        <w:t>orientó al financiamiento de</w:t>
      </w:r>
      <w:r>
        <w:rPr>
          <w:rFonts w:ascii="Calibri" w:eastAsia="Times New Roman" w:hAnsi="Calibri" w:cs="Times New Roman"/>
          <w:color w:val="000000"/>
          <w:lang w:eastAsia="es-GT"/>
        </w:rPr>
        <w:t xml:space="preserve"> acciones cuyos beneficiarios son familias o grupos sociales con énfasis en mujeres</w:t>
      </w:r>
      <w:r w:rsidR="00841ED0">
        <w:rPr>
          <w:rFonts w:ascii="Calibri" w:eastAsia="Times New Roman" w:hAnsi="Calibri" w:cs="Times New Roman"/>
          <w:color w:val="000000"/>
          <w:lang w:eastAsia="es-GT"/>
        </w:rPr>
        <w:t>,</w:t>
      </w:r>
      <w:r>
        <w:rPr>
          <w:rFonts w:ascii="Calibri" w:eastAsia="Times New Roman" w:hAnsi="Calibri" w:cs="Times New Roman"/>
          <w:color w:val="000000"/>
          <w:lang w:eastAsia="es-GT"/>
        </w:rPr>
        <w:t xml:space="preserve"> correspondiendo al 46%.</w:t>
      </w:r>
    </w:p>
    <w:p w14:paraId="6D7A3B2E" w14:textId="77777777" w:rsidR="00EA147C" w:rsidRDefault="00EA147C" w:rsidP="005C28D3">
      <w:pPr>
        <w:spacing w:after="0" w:line="360" w:lineRule="auto"/>
        <w:jc w:val="both"/>
        <w:rPr>
          <w:rFonts w:ascii="Calibri" w:eastAsia="Times New Roman" w:hAnsi="Calibri" w:cs="Times New Roman"/>
          <w:color w:val="000000"/>
          <w:lang w:eastAsia="es-GT"/>
        </w:rPr>
      </w:pPr>
    </w:p>
    <w:p w14:paraId="27D68D0C" w14:textId="286E0B53" w:rsidR="000B7170" w:rsidRDefault="000B7170" w:rsidP="00141E19">
      <w:pPr>
        <w:pStyle w:val="Tabla"/>
        <w:jc w:val="center"/>
        <w:rPr>
          <w:b/>
          <w:bCs/>
        </w:rPr>
      </w:pPr>
      <w:r w:rsidRPr="00141E19">
        <w:rPr>
          <w:b/>
          <w:bCs/>
        </w:rPr>
        <w:t>Tabla 3</w:t>
      </w:r>
    </w:p>
    <w:p w14:paraId="61A7B905" w14:textId="77777777" w:rsidR="00205B92" w:rsidRPr="00337B99" w:rsidRDefault="00205B92" w:rsidP="00337B99">
      <w:pPr>
        <w:spacing w:after="0" w:line="240" w:lineRule="auto"/>
        <w:jc w:val="center"/>
        <w:rPr>
          <w:rFonts w:ascii="Calibri" w:eastAsia="Times New Roman" w:hAnsi="Calibri" w:cs="Times New Roman"/>
          <w:b/>
          <w:bCs/>
          <w:color w:val="000000"/>
          <w:lang w:eastAsia="es-GT"/>
        </w:rPr>
      </w:pPr>
      <w:r w:rsidRPr="00337B99">
        <w:rPr>
          <w:rFonts w:ascii="Calibri" w:eastAsia="Times New Roman" w:hAnsi="Calibri" w:cs="Times New Roman"/>
          <w:b/>
          <w:bCs/>
          <w:color w:val="000000"/>
          <w:lang w:eastAsia="es-GT"/>
        </w:rPr>
        <w:t>Presupuesto Vinculado al CPEG en el Primer Semestre 2021</w:t>
      </w:r>
    </w:p>
    <w:p w14:paraId="7FBEC714" w14:textId="31F65ABC" w:rsidR="00367A26" w:rsidRPr="00EE2C68" w:rsidRDefault="00205B92" w:rsidP="00EE2C68">
      <w:pPr>
        <w:tabs>
          <w:tab w:val="left" w:pos="1275"/>
        </w:tabs>
        <w:spacing w:line="240" w:lineRule="auto"/>
        <w:jc w:val="center"/>
        <w:rPr>
          <w:b/>
          <w:bCs/>
        </w:rPr>
      </w:pPr>
      <w:r w:rsidRPr="00337B99">
        <w:rPr>
          <w:b/>
          <w:bCs/>
        </w:rPr>
        <w:t xml:space="preserve">Entidades </w:t>
      </w:r>
      <w:r w:rsidR="00FE19A8">
        <w:rPr>
          <w:b/>
          <w:bCs/>
        </w:rPr>
        <w:t xml:space="preserve">centralizadas </w:t>
      </w:r>
      <w:r w:rsidRPr="00337B99">
        <w:rPr>
          <w:b/>
          <w:bCs/>
        </w:rPr>
        <w:t>de gobierno</w:t>
      </w:r>
      <w:r w:rsidR="000B7170" w:rsidRPr="00337B99">
        <w:rPr>
          <w:b/>
          <w:bCs/>
        </w:rPr>
        <w:t xml:space="preserve"> </w:t>
      </w:r>
      <w:r w:rsidR="002A3678">
        <w:rPr>
          <w:rFonts w:ascii="Calibri" w:eastAsia="Times New Roman" w:hAnsi="Calibri" w:cs="Times New Roman"/>
          <w:b/>
          <w:bCs/>
          <w:color w:val="000000"/>
          <w:lang w:eastAsia="es-GT"/>
        </w:rPr>
        <w:t>de Administración Central</w:t>
      </w:r>
      <w:r w:rsidR="000B7170" w:rsidRPr="00337B99">
        <w:rPr>
          <w:b/>
          <w:bCs/>
        </w:rPr>
        <w:t xml:space="preserve"> por beneficiario</w:t>
      </w:r>
    </w:p>
    <w:tbl>
      <w:tblPr>
        <w:tblW w:w="0" w:type="auto"/>
        <w:tblCellMar>
          <w:left w:w="70" w:type="dxa"/>
          <w:right w:w="70" w:type="dxa"/>
        </w:tblCellMar>
        <w:tblLook w:val="04A0" w:firstRow="1" w:lastRow="0" w:firstColumn="1" w:lastColumn="0" w:noHBand="0" w:noVBand="1"/>
      </w:tblPr>
      <w:tblGrid>
        <w:gridCol w:w="2783"/>
        <w:gridCol w:w="1702"/>
        <w:gridCol w:w="1702"/>
        <w:gridCol w:w="1702"/>
        <w:gridCol w:w="939"/>
      </w:tblGrid>
      <w:tr w:rsidR="00367A26" w:rsidRPr="00124E1C" w14:paraId="167C1791" w14:textId="77777777" w:rsidTr="001D0939">
        <w:trPr>
          <w:trHeight w:val="601"/>
        </w:trPr>
        <w:tc>
          <w:tcPr>
            <w:tcW w:w="0" w:type="auto"/>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3D183020" w14:textId="77777777" w:rsidR="00367A26" w:rsidRPr="00124E1C" w:rsidRDefault="00367A26" w:rsidP="00AD52FD">
            <w:pPr>
              <w:spacing w:after="0" w:line="240" w:lineRule="auto"/>
              <w:jc w:val="center"/>
              <w:rPr>
                <w:rFonts w:ascii="Calibri" w:eastAsia="Times New Roman" w:hAnsi="Calibri" w:cs="Times New Roman"/>
                <w:b/>
                <w:bCs/>
                <w:color w:val="F2F2F2"/>
                <w:sz w:val="18"/>
                <w:lang w:eastAsia="es-GT"/>
              </w:rPr>
            </w:pPr>
            <w:r w:rsidRPr="00124E1C">
              <w:rPr>
                <w:rFonts w:ascii="Calibri" w:eastAsia="Times New Roman" w:hAnsi="Calibri" w:cs="Times New Roman"/>
                <w:b/>
                <w:bCs/>
                <w:color w:val="F2F2F2"/>
                <w:sz w:val="18"/>
                <w:lang w:eastAsia="es-GT"/>
              </w:rPr>
              <w:t>Criterio</w:t>
            </w:r>
          </w:p>
        </w:tc>
        <w:tc>
          <w:tcPr>
            <w:tcW w:w="0" w:type="auto"/>
            <w:tcBorders>
              <w:top w:val="single" w:sz="4" w:space="0" w:color="auto"/>
              <w:left w:val="nil"/>
              <w:bottom w:val="single" w:sz="4" w:space="0" w:color="auto"/>
              <w:right w:val="single" w:sz="4" w:space="0" w:color="auto"/>
            </w:tcBorders>
            <w:shd w:val="clear" w:color="000000" w:fill="1F4E78"/>
            <w:noWrap/>
            <w:vAlign w:val="center"/>
            <w:hideMark/>
          </w:tcPr>
          <w:p w14:paraId="63FB190F" w14:textId="77777777" w:rsidR="00367A26" w:rsidRPr="00124E1C" w:rsidRDefault="00367A26" w:rsidP="00AD52FD">
            <w:pPr>
              <w:spacing w:after="0" w:line="240" w:lineRule="auto"/>
              <w:jc w:val="center"/>
              <w:rPr>
                <w:rFonts w:ascii="Calibri" w:eastAsia="Times New Roman" w:hAnsi="Calibri" w:cs="Times New Roman"/>
                <w:b/>
                <w:bCs/>
                <w:color w:val="F2F2F2"/>
                <w:sz w:val="18"/>
                <w:lang w:eastAsia="es-GT"/>
              </w:rPr>
            </w:pPr>
            <w:r w:rsidRPr="00124E1C">
              <w:rPr>
                <w:rFonts w:ascii="Calibri" w:eastAsia="Times New Roman" w:hAnsi="Calibri" w:cs="Times New Roman"/>
                <w:b/>
                <w:bCs/>
                <w:color w:val="F2F2F2"/>
                <w:sz w:val="18"/>
                <w:lang w:eastAsia="es-GT"/>
              </w:rPr>
              <w:t>Asignado</w:t>
            </w:r>
          </w:p>
        </w:tc>
        <w:tc>
          <w:tcPr>
            <w:tcW w:w="0" w:type="auto"/>
            <w:tcBorders>
              <w:top w:val="single" w:sz="4" w:space="0" w:color="auto"/>
              <w:left w:val="nil"/>
              <w:bottom w:val="single" w:sz="4" w:space="0" w:color="auto"/>
              <w:right w:val="single" w:sz="4" w:space="0" w:color="auto"/>
            </w:tcBorders>
            <w:shd w:val="clear" w:color="000000" w:fill="1F4E78"/>
            <w:vAlign w:val="center"/>
            <w:hideMark/>
          </w:tcPr>
          <w:p w14:paraId="32FD41B2" w14:textId="77777777" w:rsidR="00367A26" w:rsidRPr="00124E1C" w:rsidRDefault="00367A26" w:rsidP="00AD52FD">
            <w:pPr>
              <w:spacing w:after="0" w:line="240" w:lineRule="auto"/>
              <w:jc w:val="center"/>
              <w:rPr>
                <w:rFonts w:ascii="Calibri" w:eastAsia="Times New Roman" w:hAnsi="Calibri" w:cs="Times New Roman"/>
                <w:b/>
                <w:bCs/>
                <w:color w:val="F2F2F2"/>
                <w:sz w:val="18"/>
                <w:lang w:eastAsia="es-GT"/>
              </w:rPr>
            </w:pPr>
            <w:r w:rsidRPr="00124E1C">
              <w:rPr>
                <w:rFonts w:ascii="Calibri" w:eastAsia="Times New Roman" w:hAnsi="Calibri" w:cs="Times New Roman"/>
                <w:b/>
                <w:bCs/>
                <w:color w:val="F2F2F2"/>
                <w:sz w:val="18"/>
                <w:lang w:eastAsia="es-GT"/>
              </w:rPr>
              <w:t>Vigente</w:t>
            </w:r>
          </w:p>
        </w:tc>
        <w:tc>
          <w:tcPr>
            <w:tcW w:w="0" w:type="auto"/>
            <w:tcBorders>
              <w:top w:val="single" w:sz="4" w:space="0" w:color="auto"/>
              <w:left w:val="nil"/>
              <w:bottom w:val="single" w:sz="4" w:space="0" w:color="auto"/>
              <w:right w:val="single" w:sz="4" w:space="0" w:color="auto"/>
            </w:tcBorders>
            <w:shd w:val="clear" w:color="000000" w:fill="1F4E78"/>
            <w:vAlign w:val="center"/>
            <w:hideMark/>
          </w:tcPr>
          <w:p w14:paraId="38CE1D0F" w14:textId="77777777" w:rsidR="00367A26" w:rsidRPr="00124E1C" w:rsidRDefault="00367A26" w:rsidP="00AD52FD">
            <w:pPr>
              <w:spacing w:after="0" w:line="240" w:lineRule="auto"/>
              <w:jc w:val="center"/>
              <w:rPr>
                <w:rFonts w:ascii="Calibri" w:eastAsia="Times New Roman" w:hAnsi="Calibri" w:cs="Times New Roman"/>
                <w:b/>
                <w:bCs/>
                <w:color w:val="F2F2F2"/>
                <w:sz w:val="18"/>
                <w:lang w:eastAsia="es-GT"/>
              </w:rPr>
            </w:pPr>
            <w:r w:rsidRPr="00124E1C">
              <w:rPr>
                <w:rFonts w:ascii="Calibri" w:eastAsia="Times New Roman" w:hAnsi="Calibri" w:cs="Times New Roman"/>
                <w:b/>
                <w:bCs/>
                <w:color w:val="F2F2F2"/>
                <w:sz w:val="18"/>
                <w:lang w:eastAsia="es-GT"/>
              </w:rPr>
              <w:t>Devengado</w:t>
            </w:r>
          </w:p>
        </w:tc>
        <w:tc>
          <w:tcPr>
            <w:tcW w:w="0" w:type="auto"/>
            <w:tcBorders>
              <w:top w:val="single" w:sz="4" w:space="0" w:color="auto"/>
              <w:left w:val="nil"/>
              <w:bottom w:val="single" w:sz="4" w:space="0" w:color="auto"/>
              <w:right w:val="single" w:sz="4" w:space="0" w:color="auto"/>
            </w:tcBorders>
            <w:shd w:val="clear" w:color="000000" w:fill="1F4E78"/>
            <w:vAlign w:val="center"/>
            <w:hideMark/>
          </w:tcPr>
          <w:p w14:paraId="563DA8A8" w14:textId="77777777" w:rsidR="00367A26" w:rsidRPr="00124E1C" w:rsidRDefault="00367A26" w:rsidP="00AD52FD">
            <w:pPr>
              <w:spacing w:after="0" w:line="240" w:lineRule="auto"/>
              <w:jc w:val="center"/>
              <w:rPr>
                <w:rFonts w:ascii="Calibri" w:eastAsia="Times New Roman" w:hAnsi="Calibri" w:cs="Times New Roman"/>
                <w:b/>
                <w:bCs/>
                <w:color w:val="F2F2F2"/>
                <w:sz w:val="18"/>
                <w:lang w:eastAsia="es-GT"/>
              </w:rPr>
            </w:pPr>
            <w:r w:rsidRPr="00124E1C">
              <w:rPr>
                <w:rFonts w:ascii="Calibri" w:eastAsia="Times New Roman" w:hAnsi="Calibri" w:cs="Times New Roman"/>
                <w:b/>
                <w:bCs/>
                <w:color w:val="F2F2F2"/>
                <w:sz w:val="18"/>
                <w:lang w:eastAsia="es-GT"/>
              </w:rPr>
              <w:t>% Ejecución</w:t>
            </w:r>
          </w:p>
        </w:tc>
      </w:tr>
      <w:tr w:rsidR="00367A26" w:rsidRPr="00124E1C" w14:paraId="5D47BDF0" w14:textId="77777777" w:rsidTr="00E8607B">
        <w:trPr>
          <w:trHeight w:val="464"/>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31A0C3AF" w14:textId="65904B55" w:rsidR="00367A26" w:rsidRPr="00124E1C" w:rsidRDefault="00367A26" w:rsidP="00AD52FD">
            <w:pPr>
              <w:spacing w:after="0" w:line="240" w:lineRule="auto"/>
              <w:rPr>
                <w:rFonts w:ascii="Calibri" w:eastAsia="Times New Roman" w:hAnsi="Calibri" w:cs="Times New Roman"/>
                <w:color w:val="000000"/>
                <w:sz w:val="18"/>
                <w:lang w:eastAsia="es-GT"/>
              </w:rPr>
            </w:pPr>
            <w:r w:rsidRPr="00124E1C">
              <w:rPr>
                <w:rFonts w:ascii="Calibri" w:eastAsia="Times New Roman" w:hAnsi="Calibri" w:cs="Times New Roman"/>
                <w:color w:val="000000"/>
                <w:sz w:val="18"/>
                <w:lang w:eastAsia="es-GT"/>
              </w:rPr>
              <w:t>Exclusivas Mujeres</w:t>
            </w:r>
            <w:r w:rsidR="00EE2C68" w:rsidRPr="00124E1C">
              <w:rPr>
                <w:rFonts w:ascii="Calibri" w:eastAsia="Times New Roman" w:hAnsi="Calibri" w:cs="Times New Roman"/>
                <w:color w:val="000000"/>
                <w:sz w:val="18"/>
                <w:lang w:eastAsia="es-GT"/>
              </w:rPr>
              <w:t xml:space="preserve"> (código 1)</w:t>
            </w:r>
          </w:p>
        </w:tc>
        <w:tc>
          <w:tcPr>
            <w:tcW w:w="0" w:type="auto"/>
            <w:tcBorders>
              <w:top w:val="nil"/>
              <w:left w:val="nil"/>
              <w:bottom w:val="single" w:sz="4" w:space="0" w:color="auto"/>
              <w:right w:val="single" w:sz="4" w:space="0" w:color="auto"/>
            </w:tcBorders>
            <w:shd w:val="clear" w:color="000000" w:fill="BDD7EE"/>
            <w:noWrap/>
            <w:vAlign w:val="center"/>
            <w:hideMark/>
          </w:tcPr>
          <w:p w14:paraId="7F7FD847" w14:textId="77777777" w:rsidR="00367A26" w:rsidRPr="00124E1C" w:rsidRDefault="00367A26" w:rsidP="00AD52FD">
            <w:pPr>
              <w:spacing w:after="0" w:line="240" w:lineRule="auto"/>
              <w:jc w:val="right"/>
              <w:rPr>
                <w:rFonts w:ascii="Calibri" w:eastAsia="Times New Roman" w:hAnsi="Calibri" w:cs="Times New Roman"/>
                <w:color w:val="000000"/>
                <w:sz w:val="18"/>
                <w:lang w:eastAsia="es-GT"/>
              </w:rPr>
            </w:pPr>
            <w:r w:rsidRPr="00124E1C">
              <w:rPr>
                <w:rFonts w:ascii="Calibri" w:eastAsia="Times New Roman" w:hAnsi="Calibri" w:cs="Times New Roman"/>
                <w:color w:val="000000"/>
                <w:sz w:val="18"/>
                <w:lang w:eastAsia="es-GT"/>
              </w:rPr>
              <w:t xml:space="preserve"> Q            589,288,734 </w:t>
            </w:r>
          </w:p>
        </w:tc>
        <w:tc>
          <w:tcPr>
            <w:tcW w:w="0" w:type="auto"/>
            <w:tcBorders>
              <w:top w:val="nil"/>
              <w:left w:val="nil"/>
              <w:bottom w:val="single" w:sz="4" w:space="0" w:color="auto"/>
              <w:right w:val="single" w:sz="4" w:space="0" w:color="auto"/>
            </w:tcBorders>
            <w:shd w:val="clear" w:color="000000" w:fill="BDD7EE"/>
            <w:noWrap/>
            <w:vAlign w:val="center"/>
            <w:hideMark/>
          </w:tcPr>
          <w:p w14:paraId="66991579" w14:textId="77777777" w:rsidR="00367A26" w:rsidRPr="00124E1C" w:rsidRDefault="00367A26" w:rsidP="00AD52FD">
            <w:pPr>
              <w:spacing w:after="0" w:line="240" w:lineRule="auto"/>
              <w:jc w:val="right"/>
              <w:rPr>
                <w:rFonts w:ascii="Calibri" w:eastAsia="Times New Roman" w:hAnsi="Calibri" w:cs="Times New Roman"/>
                <w:color w:val="000000"/>
                <w:sz w:val="18"/>
                <w:lang w:eastAsia="es-GT"/>
              </w:rPr>
            </w:pPr>
            <w:r w:rsidRPr="00124E1C">
              <w:rPr>
                <w:rFonts w:ascii="Calibri" w:eastAsia="Times New Roman" w:hAnsi="Calibri" w:cs="Times New Roman"/>
                <w:color w:val="000000"/>
                <w:sz w:val="18"/>
                <w:lang w:eastAsia="es-GT"/>
              </w:rPr>
              <w:t xml:space="preserve"> Q            623,005,521 </w:t>
            </w:r>
          </w:p>
        </w:tc>
        <w:tc>
          <w:tcPr>
            <w:tcW w:w="0" w:type="auto"/>
            <w:tcBorders>
              <w:top w:val="nil"/>
              <w:left w:val="nil"/>
              <w:bottom w:val="single" w:sz="4" w:space="0" w:color="auto"/>
              <w:right w:val="single" w:sz="4" w:space="0" w:color="auto"/>
            </w:tcBorders>
            <w:shd w:val="clear" w:color="000000" w:fill="BDD7EE"/>
            <w:noWrap/>
            <w:vAlign w:val="center"/>
            <w:hideMark/>
          </w:tcPr>
          <w:p w14:paraId="19D9C290" w14:textId="77777777" w:rsidR="00367A26" w:rsidRPr="00124E1C" w:rsidRDefault="00367A26" w:rsidP="00AD52FD">
            <w:pPr>
              <w:spacing w:after="0" w:line="240" w:lineRule="auto"/>
              <w:jc w:val="right"/>
              <w:rPr>
                <w:rFonts w:ascii="Calibri" w:eastAsia="Times New Roman" w:hAnsi="Calibri" w:cs="Times New Roman"/>
                <w:color w:val="000000"/>
                <w:sz w:val="18"/>
                <w:lang w:eastAsia="es-GT"/>
              </w:rPr>
            </w:pPr>
            <w:r w:rsidRPr="00124E1C">
              <w:rPr>
                <w:rFonts w:ascii="Calibri" w:eastAsia="Times New Roman" w:hAnsi="Calibri" w:cs="Times New Roman"/>
                <w:color w:val="000000"/>
                <w:sz w:val="18"/>
                <w:lang w:eastAsia="es-GT"/>
              </w:rPr>
              <w:t xml:space="preserve"> Q            221,939,348 </w:t>
            </w:r>
          </w:p>
        </w:tc>
        <w:tc>
          <w:tcPr>
            <w:tcW w:w="0" w:type="auto"/>
            <w:tcBorders>
              <w:top w:val="nil"/>
              <w:left w:val="nil"/>
              <w:bottom w:val="single" w:sz="4" w:space="0" w:color="auto"/>
              <w:right w:val="single" w:sz="4" w:space="0" w:color="auto"/>
            </w:tcBorders>
            <w:shd w:val="clear" w:color="000000" w:fill="BDD7EE"/>
            <w:noWrap/>
            <w:vAlign w:val="center"/>
            <w:hideMark/>
          </w:tcPr>
          <w:p w14:paraId="5209CE9A" w14:textId="77777777" w:rsidR="00367A26" w:rsidRPr="00124E1C" w:rsidRDefault="00367A26" w:rsidP="00AD52FD">
            <w:pPr>
              <w:spacing w:after="0" w:line="240" w:lineRule="auto"/>
              <w:jc w:val="center"/>
              <w:rPr>
                <w:rFonts w:ascii="Calibri" w:eastAsia="Times New Roman" w:hAnsi="Calibri" w:cs="Times New Roman"/>
                <w:b/>
                <w:bCs/>
                <w:color w:val="000000"/>
                <w:sz w:val="18"/>
                <w:lang w:eastAsia="es-GT"/>
              </w:rPr>
            </w:pPr>
            <w:r w:rsidRPr="00124E1C">
              <w:rPr>
                <w:rFonts w:ascii="Calibri" w:eastAsia="Times New Roman" w:hAnsi="Calibri" w:cs="Times New Roman"/>
                <w:b/>
                <w:bCs/>
                <w:color w:val="000000"/>
                <w:sz w:val="18"/>
                <w:lang w:eastAsia="es-GT"/>
              </w:rPr>
              <w:t>36%</w:t>
            </w:r>
          </w:p>
        </w:tc>
      </w:tr>
      <w:tr w:rsidR="00367A26" w:rsidRPr="00124E1C" w14:paraId="568FD59C" w14:textId="77777777" w:rsidTr="00E8607B">
        <w:trPr>
          <w:trHeight w:val="55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4E91C8" w14:textId="03FFDE2E" w:rsidR="00367A26" w:rsidRPr="00124E1C" w:rsidRDefault="00367A26" w:rsidP="00AD52FD">
            <w:pPr>
              <w:spacing w:after="0" w:line="240" w:lineRule="auto"/>
              <w:rPr>
                <w:rFonts w:ascii="Calibri" w:eastAsia="Times New Roman" w:hAnsi="Calibri" w:cs="Times New Roman"/>
                <w:color w:val="000000"/>
                <w:sz w:val="18"/>
                <w:lang w:eastAsia="es-GT"/>
              </w:rPr>
            </w:pPr>
            <w:r w:rsidRPr="00124E1C">
              <w:rPr>
                <w:rFonts w:ascii="Calibri" w:eastAsia="Times New Roman" w:hAnsi="Calibri" w:cs="Times New Roman"/>
                <w:color w:val="000000"/>
                <w:sz w:val="18"/>
                <w:lang w:eastAsia="es-GT"/>
              </w:rPr>
              <w:t>Familias o Grupos Sociales con Énfasis en Mujeres</w:t>
            </w:r>
            <w:r w:rsidR="00EE2C68" w:rsidRPr="00124E1C">
              <w:rPr>
                <w:rFonts w:ascii="Calibri" w:eastAsia="Times New Roman" w:hAnsi="Calibri" w:cs="Times New Roman"/>
                <w:color w:val="000000"/>
                <w:sz w:val="18"/>
                <w:lang w:eastAsia="es-GT"/>
              </w:rPr>
              <w:t xml:space="preserve"> (código 2)</w:t>
            </w:r>
          </w:p>
        </w:tc>
        <w:tc>
          <w:tcPr>
            <w:tcW w:w="0" w:type="auto"/>
            <w:tcBorders>
              <w:top w:val="nil"/>
              <w:left w:val="nil"/>
              <w:bottom w:val="single" w:sz="4" w:space="0" w:color="auto"/>
              <w:right w:val="single" w:sz="4" w:space="0" w:color="auto"/>
            </w:tcBorders>
            <w:shd w:val="clear" w:color="auto" w:fill="auto"/>
            <w:noWrap/>
            <w:vAlign w:val="center"/>
            <w:hideMark/>
          </w:tcPr>
          <w:p w14:paraId="753B6737" w14:textId="77777777" w:rsidR="00367A26" w:rsidRPr="00124E1C" w:rsidRDefault="00367A26" w:rsidP="00AD52FD">
            <w:pPr>
              <w:spacing w:after="0" w:line="240" w:lineRule="auto"/>
              <w:jc w:val="right"/>
              <w:rPr>
                <w:rFonts w:ascii="Calibri" w:eastAsia="Times New Roman" w:hAnsi="Calibri" w:cs="Times New Roman"/>
                <w:color w:val="000000"/>
                <w:sz w:val="18"/>
                <w:lang w:eastAsia="es-GT"/>
              </w:rPr>
            </w:pPr>
            <w:r w:rsidRPr="00124E1C">
              <w:rPr>
                <w:rFonts w:ascii="Calibri" w:eastAsia="Times New Roman" w:hAnsi="Calibri" w:cs="Times New Roman"/>
                <w:color w:val="000000"/>
                <w:sz w:val="18"/>
                <w:lang w:eastAsia="es-GT"/>
              </w:rPr>
              <w:t xml:space="preserve"> Q        4,835,333,790 </w:t>
            </w:r>
          </w:p>
        </w:tc>
        <w:tc>
          <w:tcPr>
            <w:tcW w:w="0" w:type="auto"/>
            <w:tcBorders>
              <w:top w:val="nil"/>
              <w:left w:val="nil"/>
              <w:bottom w:val="single" w:sz="4" w:space="0" w:color="auto"/>
              <w:right w:val="single" w:sz="4" w:space="0" w:color="auto"/>
            </w:tcBorders>
            <w:shd w:val="clear" w:color="auto" w:fill="auto"/>
            <w:noWrap/>
            <w:vAlign w:val="center"/>
            <w:hideMark/>
          </w:tcPr>
          <w:p w14:paraId="02F3A6B7" w14:textId="77777777" w:rsidR="00367A26" w:rsidRPr="00124E1C" w:rsidRDefault="00367A26" w:rsidP="00AD52FD">
            <w:pPr>
              <w:spacing w:after="0" w:line="240" w:lineRule="auto"/>
              <w:jc w:val="right"/>
              <w:rPr>
                <w:rFonts w:ascii="Calibri" w:eastAsia="Times New Roman" w:hAnsi="Calibri" w:cs="Times New Roman"/>
                <w:color w:val="000000"/>
                <w:sz w:val="18"/>
                <w:lang w:eastAsia="es-GT"/>
              </w:rPr>
            </w:pPr>
            <w:r w:rsidRPr="00124E1C">
              <w:rPr>
                <w:rFonts w:ascii="Calibri" w:eastAsia="Times New Roman" w:hAnsi="Calibri" w:cs="Times New Roman"/>
                <w:color w:val="000000"/>
                <w:sz w:val="18"/>
                <w:lang w:eastAsia="es-GT"/>
              </w:rPr>
              <w:t xml:space="preserve"> Q        4,482,694,106 </w:t>
            </w:r>
          </w:p>
        </w:tc>
        <w:tc>
          <w:tcPr>
            <w:tcW w:w="0" w:type="auto"/>
            <w:tcBorders>
              <w:top w:val="nil"/>
              <w:left w:val="nil"/>
              <w:bottom w:val="single" w:sz="4" w:space="0" w:color="auto"/>
              <w:right w:val="single" w:sz="4" w:space="0" w:color="auto"/>
            </w:tcBorders>
            <w:shd w:val="clear" w:color="auto" w:fill="auto"/>
            <w:noWrap/>
            <w:vAlign w:val="center"/>
            <w:hideMark/>
          </w:tcPr>
          <w:p w14:paraId="584F662A" w14:textId="77777777" w:rsidR="00367A26" w:rsidRPr="00124E1C" w:rsidRDefault="00367A26" w:rsidP="00AD52FD">
            <w:pPr>
              <w:spacing w:after="0" w:line="240" w:lineRule="auto"/>
              <w:jc w:val="right"/>
              <w:rPr>
                <w:rFonts w:ascii="Calibri" w:eastAsia="Times New Roman" w:hAnsi="Calibri" w:cs="Times New Roman"/>
                <w:color w:val="000000"/>
                <w:sz w:val="18"/>
                <w:lang w:eastAsia="es-GT"/>
              </w:rPr>
            </w:pPr>
            <w:r w:rsidRPr="00124E1C">
              <w:rPr>
                <w:rFonts w:ascii="Calibri" w:eastAsia="Times New Roman" w:hAnsi="Calibri" w:cs="Times New Roman"/>
                <w:color w:val="000000"/>
                <w:sz w:val="18"/>
                <w:lang w:eastAsia="es-GT"/>
              </w:rPr>
              <w:t xml:space="preserve"> Q        2,067,458,339 </w:t>
            </w:r>
          </w:p>
        </w:tc>
        <w:tc>
          <w:tcPr>
            <w:tcW w:w="0" w:type="auto"/>
            <w:tcBorders>
              <w:top w:val="nil"/>
              <w:left w:val="nil"/>
              <w:bottom w:val="single" w:sz="4" w:space="0" w:color="auto"/>
              <w:right w:val="single" w:sz="4" w:space="0" w:color="auto"/>
            </w:tcBorders>
            <w:shd w:val="clear" w:color="auto" w:fill="auto"/>
            <w:noWrap/>
            <w:vAlign w:val="center"/>
            <w:hideMark/>
          </w:tcPr>
          <w:p w14:paraId="790F2F20" w14:textId="77777777" w:rsidR="00367A26" w:rsidRPr="00124E1C" w:rsidRDefault="00367A26" w:rsidP="00AD52FD">
            <w:pPr>
              <w:spacing w:after="0" w:line="240" w:lineRule="auto"/>
              <w:jc w:val="center"/>
              <w:rPr>
                <w:rFonts w:ascii="Calibri" w:eastAsia="Times New Roman" w:hAnsi="Calibri" w:cs="Times New Roman"/>
                <w:b/>
                <w:bCs/>
                <w:color w:val="000000"/>
                <w:sz w:val="18"/>
                <w:lang w:eastAsia="es-GT"/>
              </w:rPr>
            </w:pPr>
            <w:r w:rsidRPr="00124E1C">
              <w:rPr>
                <w:rFonts w:ascii="Calibri" w:eastAsia="Times New Roman" w:hAnsi="Calibri" w:cs="Times New Roman"/>
                <w:b/>
                <w:bCs/>
                <w:color w:val="000000"/>
                <w:sz w:val="18"/>
                <w:lang w:eastAsia="es-GT"/>
              </w:rPr>
              <w:t>46%</w:t>
            </w:r>
          </w:p>
        </w:tc>
      </w:tr>
      <w:tr w:rsidR="00367A26" w:rsidRPr="00124E1C" w14:paraId="046101B7" w14:textId="77777777" w:rsidTr="001D0939">
        <w:trPr>
          <w:trHeight w:val="520"/>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6702AC98" w14:textId="77777777" w:rsidR="00367A26" w:rsidRPr="00124E1C" w:rsidRDefault="00367A26" w:rsidP="00AD52FD">
            <w:pPr>
              <w:spacing w:after="0" w:line="240" w:lineRule="auto"/>
              <w:rPr>
                <w:rFonts w:ascii="Calibri" w:eastAsia="Times New Roman" w:hAnsi="Calibri" w:cs="Times New Roman"/>
                <w:b/>
                <w:bCs/>
                <w:color w:val="000000"/>
                <w:sz w:val="18"/>
                <w:lang w:eastAsia="es-GT"/>
              </w:rPr>
            </w:pPr>
            <w:r w:rsidRPr="00124E1C">
              <w:rPr>
                <w:rFonts w:ascii="Calibri" w:eastAsia="Times New Roman" w:hAnsi="Calibri" w:cs="Times New Roman"/>
                <w:b/>
                <w:bCs/>
                <w:color w:val="000000"/>
                <w:sz w:val="18"/>
                <w:lang w:eastAsia="es-GT"/>
              </w:rPr>
              <w:t>Total</w:t>
            </w:r>
          </w:p>
        </w:tc>
        <w:tc>
          <w:tcPr>
            <w:tcW w:w="0" w:type="auto"/>
            <w:tcBorders>
              <w:top w:val="nil"/>
              <w:left w:val="nil"/>
              <w:bottom w:val="single" w:sz="4" w:space="0" w:color="auto"/>
              <w:right w:val="single" w:sz="4" w:space="0" w:color="auto"/>
            </w:tcBorders>
            <w:shd w:val="clear" w:color="000000" w:fill="BDD7EE"/>
            <w:noWrap/>
            <w:vAlign w:val="center"/>
            <w:hideMark/>
          </w:tcPr>
          <w:p w14:paraId="6CA424C6" w14:textId="77777777" w:rsidR="00367A26" w:rsidRPr="00124E1C" w:rsidRDefault="00367A26" w:rsidP="00AD52FD">
            <w:pPr>
              <w:spacing w:after="0" w:line="240" w:lineRule="auto"/>
              <w:jc w:val="right"/>
              <w:rPr>
                <w:rFonts w:ascii="Calibri" w:eastAsia="Times New Roman" w:hAnsi="Calibri" w:cs="Times New Roman"/>
                <w:b/>
                <w:bCs/>
                <w:color w:val="000000"/>
                <w:sz w:val="18"/>
                <w:lang w:eastAsia="es-GT"/>
              </w:rPr>
            </w:pPr>
            <w:r w:rsidRPr="00124E1C">
              <w:rPr>
                <w:rFonts w:ascii="Calibri" w:eastAsia="Times New Roman" w:hAnsi="Calibri" w:cs="Times New Roman"/>
                <w:b/>
                <w:bCs/>
                <w:color w:val="000000"/>
                <w:sz w:val="18"/>
                <w:lang w:eastAsia="es-GT"/>
              </w:rPr>
              <w:t xml:space="preserve"> Q        5,424,622,524 </w:t>
            </w:r>
          </w:p>
        </w:tc>
        <w:tc>
          <w:tcPr>
            <w:tcW w:w="0" w:type="auto"/>
            <w:tcBorders>
              <w:top w:val="nil"/>
              <w:left w:val="nil"/>
              <w:bottom w:val="single" w:sz="4" w:space="0" w:color="auto"/>
              <w:right w:val="single" w:sz="4" w:space="0" w:color="auto"/>
            </w:tcBorders>
            <w:shd w:val="clear" w:color="000000" w:fill="BDD7EE"/>
            <w:noWrap/>
            <w:vAlign w:val="center"/>
            <w:hideMark/>
          </w:tcPr>
          <w:p w14:paraId="7023ACCC" w14:textId="77777777" w:rsidR="00367A26" w:rsidRPr="00124E1C" w:rsidRDefault="00367A26" w:rsidP="00AD52FD">
            <w:pPr>
              <w:spacing w:after="0" w:line="240" w:lineRule="auto"/>
              <w:jc w:val="right"/>
              <w:rPr>
                <w:rFonts w:ascii="Calibri" w:eastAsia="Times New Roman" w:hAnsi="Calibri" w:cs="Times New Roman"/>
                <w:b/>
                <w:bCs/>
                <w:color w:val="000000"/>
                <w:sz w:val="18"/>
                <w:lang w:eastAsia="es-GT"/>
              </w:rPr>
            </w:pPr>
            <w:r w:rsidRPr="00124E1C">
              <w:rPr>
                <w:rFonts w:ascii="Calibri" w:eastAsia="Times New Roman" w:hAnsi="Calibri" w:cs="Times New Roman"/>
                <w:b/>
                <w:bCs/>
                <w:color w:val="000000"/>
                <w:sz w:val="18"/>
                <w:lang w:eastAsia="es-GT"/>
              </w:rPr>
              <w:t xml:space="preserve"> Q        5,105,699,627 </w:t>
            </w:r>
          </w:p>
        </w:tc>
        <w:tc>
          <w:tcPr>
            <w:tcW w:w="0" w:type="auto"/>
            <w:tcBorders>
              <w:top w:val="nil"/>
              <w:left w:val="nil"/>
              <w:bottom w:val="single" w:sz="4" w:space="0" w:color="auto"/>
              <w:right w:val="single" w:sz="4" w:space="0" w:color="auto"/>
            </w:tcBorders>
            <w:shd w:val="clear" w:color="000000" w:fill="BDD7EE"/>
            <w:noWrap/>
            <w:vAlign w:val="center"/>
            <w:hideMark/>
          </w:tcPr>
          <w:p w14:paraId="23A90B77" w14:textId="77777777" w:rsidR="00367A26" w:rsidRPr="00124E1C" w:rsidRDefault="00367A26" w:rsidP="00AD52FD">
            <w:pPr>
              <w:spacing w:after="0" w:line="240" w:lineRule="auto"/>
              <w:jc w:val="right"/>
              <w:rPr>
                <w:rFonts w:ascii="Calibri" w:eastAsia="Times New Roman" w:hAnsi="Calibri" w:cs="Times New Roman"/>
                <w:b/>
                <w:bCs/>
                <w:color w:val="000000"/>
                <w:sz w:val="18"/>
                <w:lang w:eastAsia="es-GT"/>
              </w:rPr>
            </w:pPr>
            <w:r w:rsidRPr="00124E1C">
              <w:rPr>
                <w:rFonts w:ascii="Calibri" w:eastAsia="Times New Roman" w:hAnsi="Calibri" w:cs="Times New Roman"/>
                <w:b/>
                <w:bCs/>
                <w:color w:val="000000"/>
                <w:sz w:val="18"/>
                <w:lang w:eastAsia="es-GT"/>
              </w:rPr>
              <w:t xml:space="preserve"> Q        2,289,397,687 </w:t>
            </w:r>
          </w:p>
        </w:tc>
        <w:tc>
          <w:tcPr>
            <w:tcW w:w="0" w:type="auto"/>
            <w:tcBorders>
              <w:top w:val="nil"/>
              <w:left w:val="nil"/>
              <w:bottom w:val="single" w:sz="4" w:space="0" w:color="auto"/>
              <w:right w:val="single" w:sz="4" w:space="0" w:color="auto"/>
            </w:tcBorders>
            <w:shd w:val="clear" w:color="000000" w:fill="BDD7EE"/>
            <w:noWrap/>
            <w:vAlign w:val="center"/>
            <w:hideMark/>
          </w:tcPr>
          <w:p w14:paraId="2729A9BA" w14:textId="77777777" w:rsidR="00367A26" w:rsidRPr="00124E1C" w:rsidRDefault="00367A26" w:rsidP="00AD52FD">
            <w:pPr>
              <w:spacing w:after="0" w:line="240" w:lineRule="auto"/>
              <w:jc w:val="center"/>
              <w:rPr>
                <w:rFonts w:ascii="Calibri" w:eastAsia="Times New Roman" w:hAnsi="Calibri" w:cs="Times New Roman"/>
                <w:b/>
                <w:bCs/>
                <w:color w:val="000000"/>
                <w:sz w:val="18"/>
                <w:lang w:eastAsia="es-GT"/>
              </w:rPr>
            </w:pPr>
            <w:r w:rsidRPr="00124E1C">
              <w:rPr>
                <w:rFonts w:ascii="Calibri" w:eastAsia="Times New Roman" w:hAnsi="Calibri" w:cs="Times New Roman"/>
                <w:b/>
                <w:bCs/>
                <w:color w:val="000000"/>
                <w:sz w:val="18"/>
                <w:lang w:eastAsia="es-GT"/>
              </w:rPr>
              <w:t>41%</w:t>
            </w:r>
          </w:p>
        </w:tc>
      </w:tr>
    </w:tbl>
    <w:p w14:paraId="3CB2327E" w14:textId="54E85602" w:rsidR="00F756A4" w:rsidRPr="00387A2F" w:rsidRDefault="00387A2F" w:rsidP="00F756A4">
      <w:pPr>
        <w:spacing w:after="0" w:line="240" w:lineRule="auto"/>
        <w:rPr>
          <w:rFonts w:ascii="Calibri" w:eastAsia="Times New Roman" w:hAnsi="Calibri" w:cs="Times New Roman"/>
          <w:b/>
          <w:bCs/>
          <w:color w:val="000000"/>
          <w:sz w:val="18"/>
          <w:szCs w:val="18"/>
          <w:lang w:eastAsia="es-GT"/>
        </w:rPr>
      </w:pPr>
      <w:r w:rsidRPr="00387A2F">
        <w:rPr>
          <w:color w:val="231F20"/>
          <w:sz w:val="18"/>
          <w:szCs w:val="18"/>
        </w:rPr>
        <w:t xml:space="preserve">Fuente: Sistema de Contabilidad Integrada (SICOIN), </w:t>
      </w:r>
      <w:r w:rsidR="00F756A4">
        <w:rPr>
          <w:color w:val="231F20"/>
          <w:sz w:val="18"/>
          <w:szCs w:val="18"/>
        </w:rPr>
        <w:t>del 1 de enero al 30 de junio</w:t>
      </w:r>
      <w:r w:rsidR="00F756A4" w:rsidRPr="00387A2F">
        <w:rPr>
          <w:color w:val="231F20"/>
          <w:sz w:val="18"/>
          <w:szCs w:val="18"/>
        </w:rPr>
        <w:t xml:space="preserve"> del 2021</w:t>
      </w:r>
    </w:p>
    <w:p w14:paraId="4866A022" w14:textId="1B47CD30" w:rsidR="00C36FF0" w:rsidRDefault="00C36FF0" w:rsidP="000B7170">
      <w:pPr>
        <w:tabs>
          <w:tab w:val="left" w:pos="2190"/>
        </w:tabs>
        <w:spacing w:after="0" w:line="360" w:lineRule="auto"/>
        <w:rPr>
          <w:rFonts w:ascii="Calibri" w:eastAsia="Times New Roman" w:hAnsi="Calibri" w:cs="Times New Roman"/>
          <w:color w:val="000000"/>
          <w:lang w:eastAsia="es-GT"/>
        </w:rPr>
      </w:pPr>
    </w:p>
    <w:p w14:paraId="4EF5BCD2" w14:textId="45B03056" w:rsidR="00FE19A8" w:rsidRDefault="00884C5A" w:rsidP="006A1E74">
      <w:pPr>
        <w:tabs>
          <w:tab w:val="left" w:pos="2190"/>
        </w:tabs>
        <w:spacing w:after="0" w:line="360" w:lineRule="auto"/>
        <w:jc w:val="both"/>
        <w:rPr>
          <w:rFonts w:ascii="Calibri" w:eastAsia="Times New Roman" w:hAnsi="Calibri" w:cs="Times New Roman"/>
          <w:color w:val="000000"/>
          <w:lang w:eastAsia="es-GT"/>
        </w:rPr>
      </w:pPr>
      <w:r>
        <w:rPr>
          <w:rFonts w:ascii="Calibri" w:eastAsia="Times New Roman" w:hAnsi="Calibri" w:cs="Times New Roman"/>
          <w:color w:val="000000"/>
          <w:lang w:eastAsia="es-GT"/>
        </w:rPr>
        <w:t>E</w:t>
      </w:r>
      <w:r w:rsidR="00DA5728">
        <w:rPr>
          <w:rFonts w:ascii="Calibri" w:eastAsia="Times New Roman" w:hAnsi="Calibri" w:cs="Times New Roman"/>
          <w:color w:val="000000"/>
          <w:lang w:eastAsia="es-GT"/>
        </w:rPr>
        <w:t>l presupuesto vinculado</w:t>
      </w:r>
      <w:r w:rsidRPr="00884C5A">
        <w:rPr>
          <w:rFonts w:ascii="Calibri" w:eastAsia="Times New Roman" w:hAnsi="Calibri" w:cs="Times New Roman"/>
          <w:color w:val="000000"/>
          <w:lang w:eastAsia="es-GT"/>
        </w:rPr>
        <w:t xml:space="preserve"> </w:t>
      </w:r>
      <w:r>
        <w:rPr>
          <w:rFonts w:ascii="Calibri" w:eastAsia="Times New Roman" w:hAnsi="Calibri" w:cs="Times New Roman"/>
          <w:color w:val="000000"/>
          <w:lang w:eastAsia="es-GT"/>
        </w:rPr>
        <w:t>al CPEG</w:t>
      </w:r>
      <w:r w:rsidR="00DA5728">
        <w:rPr>
          <w:rFonts w:ascii="Calibri" w:eastAsia="Times New Roman" w:hAnsi="Calibri" w:cs="Times New Roman"/>
          <w:color w:val="000000"/>
          <w:lang w:eastAsia="es-GT"/>
        </w:rPr>
        <w:t xml:space="preserve"> </w:t>
      </w:r>
      <w:r>
        <w:rPr>
          <w:rFonts w:ascii="Calibri" w:eastAsia="Times New Roman" w:hAnsi="Calibri" w:cs="Times New Roman"/>
          <w:color w:val="000000"/>
          <w:lang w:eastAsia="es-GT"/>
        </w:rPr>
        <w:t xml:space="preserve">por parte de las instituciones centralizadas de Gobierno de administración central, </w:t>
      </w:r>
      <w:r w:rsidR="00DA5728">
        <w:rPr>
          <w:rFonts w:ascii="Calibri" w:eastAsia="Times New Roman" w:hAnsi="Calibri" w:cs="Times New Roman"/>
          <w:color w:val="000000"/>
          <w:lang w:eastAsia="es-GT"/>
        </w:rPr>
        <w:t xml:space="preserve">por Eje de PNPDIM </w:t>
      </w:r>
      <w:r w:rsidR="00657D4D">
        <w:rPr>
          <w:rFonts w:ascii="Calibri" w:eastAsia="Times New Roman" w:hAnsi="Calibri" w:cs="Times New Roman"/>
          <w:color w:val="000000"/>
          <w:lang w:eastAsia="es-GT"/>
        </w:rPr>
        <w:t>para</w:t>
      </w:r>
      <w:r w:rsidR="00DA5728">
        <w:rPr>
          <w:rFonts w:ascii="Calibri" w:eastAsia="Times New Roman" w:hAnsi="Calibri" w:cs="Times New Roman"/>
          <w:color w:val="000000"/>
          <w:lang w:eastAsia="es-GT"/>
        </w:rPr>
        <w:t xml:space="preserve"> el primer semestre 2021 </w:t>
      </w:r>
      <w:r>
        <w:rPr>
          <w:rFonts w:ascii="Calibri" w:eastAsia="Times New Roman" w:hAnsi="Calibri" w:cs="Times New Roman"/>
          <w:color w:val="000000"/>
          <w:lang w:eastAsia="es-GT"/>
        </w:rPr>
        <w:t>se presenta en la Tabla 4</w:t>
      </w:r>
      <w:r w:rsidR="00F83394">
        <w:rPr>
          <w:rFonts w:ascii="Calibri" w:eastAsia="Times New Roman" w:hAnsi="Calibri" w:cs="Times New Roman"/>
          <w:color w:val="000000"/>
          <w:lang w:eastAsia="es-GT"/>
        </w:rPr>
        <w:t>.</w:t>
      </w:r>
    </w:p>
    <w:p w14:paraId="241DB4F4" w14:textId="77777777" w:rsidR="000E4EB3" w:rsidRDefault="000E4EB3" w:rsidP="006A1E74">
      <w:pPr>
        <w:tabs>
          <w:tab w:val="left" w:pos="2190"/>
        </w:tabs>
        <w:spacing w:after="0" w:line="360" w:lineRule="auto"/>
        <w:jc w:val="both"/>
        <w:rPr>
          <w:rFonts w:ascii="Calibri" w:eastAsia="Times New Roman" w:hAnsi="Calibri" w:cs="Times New Roman"/>
          <w:color w:val="000000"/>
          <w:lang w:eastAsia="es-GT"/>
        </w:rPr>
      </w:pPr>
    </w:p>
    <w:p w14:paraId="16527157" w14:textId="7F905A5E" w:rsidR="000E4EB3" w:rsidRDefault="000E4EB3" w:rsidP="006A1E74">
      <w:pPr>
        <w:tabs>
          <w:tab w:val="left" w:pos="2190"/>
        </w:tabs>
        <w:spacing w:after="0" w:line="360" w:lineRule="auto"/>
        <w:jc w:val="both"/>
        <w:rPr>
          <w:rFonts w:ascii="Calibri" w:eastAsia="Times New Roman" w:hAnsi="Calibri" w:cs="Times New Roman"/>
          <w:color w:val="000000"/>
          <w:lang w:eastAsia="es-GT"/>
        </w:rPr>
      </w:pPr>
      <w:r>
        <w:rPr>
          <w:rFonts w:ascii="Calibri" w:eastAsia="Times New Roman" w:hAnsi="Calibri" w:cs="Times New Roman"/>
          <w:color w:val="000000"/>
          <w:lang w:eastAsia="es-GT"/>
        </w:rPr>
        <w:t xml:space="preserve">En concordancia con lo indicado en las desagregaciones descritas anteriormente, en ambos tipos de presupuesto, el área de violencia contra las mujeres es la que reporta mayor contribución, con una </w:t>
      </w:r>
      <w:r w:rsidR="007C4D4A">
        <w:rPr>
          <w:rFonts w:ascii="Calibri" w:eastAsia="Times New Roman" w:hAnsi="Calibri" w:cs="Times New Roman"/>
          <w:color w:val="000000"/>
          <w:lang w:eastAsia="es-GT"/>
        </w:rPr>
        <w:t>48</w:t>
      </w:r>
      <w:r>
        <w:rPr>
          <w:rFonts w:ascii="Calibri" w:eastAsia="Times New Roman" w:hAnsi="Calibri" w:cs="Times New Roman"/>
          <w:color w:val="000000"/>
          <w:lang w:eastAsia="es-GT"/>
        </w:rPr>
        <w:t xml:space="preserve">% en el presupuesto ejecutado. </w:t>
      </w:r>
      <w:r w:rsidR="00B01118">
        <w:rPr>
          <w:rFonts w:ascii="Segoe UI" w:hAnsi="Segoe UI" w:cs="Segoe UI"/>
          <w:color w:val="000000"/>
          <w:sz w:val="20"/>
          <w:szCs w:val="20"/>
        </w:rPr>
        <w:t>Le sigue el MSPAS con un nivel de ejecución del 41%.</w:t>
      </w:r>
    </w:p>
    <w:p w14:paraId="30BCA2AA" w14:textId="77777777" w:rsidR="00F11019" w:rsidRDefault="00F11019" w:rsidP="006A1E74">
      <w:pPr>
        <w:tabs>
          <w:tab w:val="left" w:pos="2190"/>
        </w:tabs>
        <w:spacing w:after="0" w:line="360" w:lineRule="auto"/>
        <w:jc w:val="both"/>
        <w:rPr>
          <w:rFonts w:ascii="Calibri" w:eastAsia="Times New Roman" w:hAnsi="Calibri" w:cs="Times New Roman"/>
          <w:color w:val="000000"/>
          <w:lang w:eastAsia="es-GT"/>
        </w:rPr>
      </w:pPr>
    </w:p>
    <w:p w14:paraId="4FB9183E" w14:textId="5BF1DDD5" w:rsidR="00F11019" w:rsidRPr="00E34AA8" w:rsidRDefault="00F11019" w:rsidP="006A1E74">
      <w:pPr>
        <w:tabs>
          <w:tab w:val="left" w:pos="2190"/>
        </w:tabs>
        <w:spacing w:after="0" w:line="360" w:lineRule="auto"/>
        <w:jc w:val="both"/>
        <w:rPr>
          <w:rFonts w:ascii="Calibri" w:eastAsia="Times New Roman" w:hAnsi="Calibri" w:cs="Times New Roman"/>
          <w:color w:val="000000"/>
          <w:lang w:eastAsia="es-GT"/>
        </w:rPr>
      </w:pPr>
      <w:r>
        <w:rPr>
          <w:rFonts w:ascii="Calibri" w:eastAsia="Times New Roman" w:hAnsi="Calibri" w:cs="Times New Roman"/>
          <w:color w:val="000000"/>
          <w:lang w:eastAsia="es-GT"/>
        </w:rPr>
        <w:t xml:space="preserve">Las instituciones centralizadas tal como se puede observar en la tabla numero 4 no etiquetaron presupuesto a los ejes de participación sociopolítica, equidad jurídica, racismo y discriminación e identidad cultural. Lo anterior </w:t>
      </w:r>
      <w:r w:rsidR="007C4D4A">
        <w:rPr>
          <w:rFonts w:ascii="Calibri" w:eastAsia="Times New Roman" w:hAnsi="Calibri" w:cs="Times New Roman"/>
          <w:color w:val="000000"/>
          <w:lang w:eastAsia="es-GT"/>
        </w:rPr>
        <w:t>es reflejo</w:t>
      </w:r>
      <w:r>
        <w:rPr>
          <w:rFonts w:ascii="Calibri" w:eastAsia="Times New Roman" w:hAnsi="Calibri" w:cs="Times New Roman"/>
          <w:color w:val="000000"/>
          <w:lang w:eastAsia="es-GT"/>
        </w:rPr>
        <w:t xml:space="preserve"> de la </w:t>
      </w:r>
      <w:r w:rsidR="00DC1B87">
        <w:rPr>
          <w:rFonts w:ascii="Calibri" w:eastAsia="Times New Roman" w:hAnsi="Calibri" w:cs="Times New Roman"/>
          <w:color w:val="000000"/>
          <w:lang w:eastAsia="es-GT"/>
        </w:rPr>
        <w:t>escasa</w:t>
      </w:r>
      <w:r>
        <w:rPr>
          <w:rFonts w:ascii="Calibri" w:eastAsia="Times New Roman" w:hAnsi="Calibri" w:cs="Times New Roman"/>
          <w:color w:val="000000"/>
          <w:lang w:eastAsia="es-GT"/>
        </w:rPr>
        <w:t xml:space="preserve"> importancia que se les da a estos temas en la gestión </w:t>
      </w:r>
      <w:r w:rsidR="00DC1B87">
        <w:rPr>
          <w:rFonts w:ascii="Calibri" w:eastAsia="Times New Roman" w:hAnsi="Calibri" w:cs="Times New Roman"/>
          <w:color w:val="000000"/>
          <w:lang w:eastAsia="es-GT"/>
        </w:rPr>
        <w:t>pública</w:t>
      </w:r>
      <w:r>
        <w:rPr>
          <w:rFonts w:ascii="Calibri" w:eastAsia="Times New Roman" w:hAnsi="Calibri" w:cs="Times New Roman"/>
          <w:color w:val="000000"/>
          <w:lang w:eastAsia="es-GT"/>
        </w:rPr>
        <w:t xml:space="preserve"> y que en general </w:t>
      </w:r>
      <w:r w:rsidR="00DC1B87">
        <w:rPr>
          <w:rFonts w:ascii="Calibri" w:eastAsia="Times New Roman" w:hAnsi="Calibri" w:cs="Times New Roman"/>
          <w:color w:val="000000"/>
          <w:lang w:eastAsia="es-GT"/>
        </w:rPr>
        <w:t xml:space="preserve">son temas que van orientados a promover el desarrollo integral de las mujeres, niñas y adolescentes de los cuatro pueblos de Guatemala. </w:t>
      </w:r>
    </w:p>
    <w:p w14:paraId="3CDAAC3F" w14:textId="769E67C6" w:rsidR="0047166D" w:rsidRDefault="0047166D">
      <w:pPr>
        <w:rPr>
          <w:rFonts w:ascii="Calibri" w:eastAsia="Times New Roman" w:hAnsi="Calibri" w:cs="Times New Roman"/>
          <w:strike/>
          <w:color w:val="000000"/>
          <w:lang w:eastAsia="es-GT"/>
        </w:rPr>
      </w:pPr>
      <w:r>
        <w:rPr>
          <w:rFonts w:ascii="Calibri" w:eastAsia="Times New Roman" w:hAnsi="Calibri" w:cs="Times New Roman"/>
          <w:strike/>
          <w:color w:val="000000"/>
          <w:lang w:eastAsia="es-GT"/>
        </w:rPr>
        <w:br w:type="page"/>
      </w:r>
    </w:p>
    <w:p w14:paraId="45CF3DDD" w14:textId="5843658E" w:rsidR="000B7170" w:rsidRDefault="000B7170" w:rsidP="00141E19">
      <w:pPr>
        <w:pStyle w:val="Tabla"/>
        <w:jc w:val="center"/>
      </w:pPr>
      <w:r w:rsidRPr="00141E19">
        <w:rPr>
          <w:b/>
          <w:bCs/>
        </w:rPr>
        <w:lastRenderedPageBreak/>
        <w:t>Tabla</w:t>
      </w:r>
      <w:r>
        <w:t xml:space="preserve"> </w:t>
      </w:r>
      <w:r w:rsidRPr="00141E19">
        <w:rPr>
          <w:b/>
          <w:bCs/>
        </w:rPr>
        <w:t>4</w:t>
      </w:r>
    </w:p>
    <w:p w14:paraId="2D2E5DFF" w14:textId="12784ADC" w:rsidR="00337B99" w:rsidRPr="00337B99" w:rsidRDefault="00337B99" w:rsidP="00337B99">
      <w:pPr>
        <w:spacing w:after="0" w:line="240" w:lineRule="auto"/>
        <w:jc w:val="center"/>
        <w:rPr>
          <w:rFonts w:ascii="Calibri" w:eastAsia="Times New Roman" w:hAnsi="Calibri" w:cs="Times New Roman"/>
          <w:b/>
          <w:bCs/>
          <w:color w:val="000000"/>
          <w:lang w:eastAsia="es-GT"/>
        </w:rPr>
      </w:pPr>
      <w:r w:rsidRPr="00337B99">
        <w:rPr>
          <w:rFonts w:ascii="Calibri" w:eastAsia="Times New Roman" w:hAnsi="Calibri" w:cs="Times New Roman"/>
          <w:b/>
          <w:bCs/>
          <w:color w:val="000000"/>
          <w:lang w:eastAsia="es-GT"/>
        </w:rPr>
        <w:t xml:space="preserve">Presupuesto Vinculado al CPEG </w:t>
      </w:r>
      <w:r w:rsidRPr="00477454">
        <w:rPr>
          <w:b/>
          <w:bCs/>
        </w:rPr>
        <w:t xml:space="preserve">por Eje de </w:t>
      </w:r>
      <w:r w:rsidR="00C06E16" w:rsidRPr="00477454">
        <w:rPr>
          <w:b/>
          <w:bCs/>
        </w:rPr>
        <w:t>PNPDIM</w:t>
      </w:r>
      <w:r w:rsidR="00C06E16">
        <w:rPr>
          <w:b/>
          <w:bCs/>
        </w:rPr>
        <w:t xml:space="preserve"> en</w:t>
      </w:r>
      <w:r w:rsidRPr="00337B99">
        <w:rPr>
          <w:rFonts w:ascii="Calibri" w:eastAsia="Times New Roman" w:hAnsi="Calibri" w:cs="Times New Roman"/>
          <w:b/>
          <w:bCs/>
          <w:color w:val="000000"/>
          <w:lang w:eastAsia="es-GT"/>
        </w:rPr>
        <w:t xml:space="preserve"> el Primer Semestre 2021</w:t>
      </w:r>
    </w:p>
    <w:p w14:paraId="093B6D20" w14:textId="5303AC4C" w:rsidR="00337B99" w:rsidRDefault="00337B99" w:rsidP="00F9792D">
      <w:pPr>
        <w:spacing w:after="0" w:line="240" w:lineRule="auto"/>
        <w:jc w:val="center"/>
        <w:rPr>
          <w:rFonts w:ascii="Calibri" w:eastAsia="Times New Roman" w:hAnsi="Calibri" w:cs="Times New Roman"/>
          <w:b/>
          <w:bCs/>
          <w:color w:val="000000"/>
          <w:lang w:eastAsia="es-GT"/>
        </w:rPr>
      </w:pPr>
      <w:r w:rsidRPr="00337B99">
        <w:rPr>
          <w:rFonts w:ascii="Calibri" w:eastAsia="Times New Roman" w:hAnsi="Calibri" w:cs="Times New Roman"/>
          <w:b/>
          <w:bCs/>
          <w:color w:val="000000"/>
          <w:lang w:eastAsia="es-GT"/>
        </w:rPr>
        <w:t xml:space="preserve">Instituciones </w:t>
      </w:r>
      <w:r w:rsidR="00FE19A8">
        <w:rPr>
          <w:rFonts w:ascii="Calibri" w:eastAsia="Times New Roman" w:hAnsi="Calibri" w:cs="Times New Roman"/>
          <w:b/>
          <w:bCs/>
          <w:color w:val="000000"/>
          <w:lang w:eastAsia="es-GT"/>
        </w:rPr>
        <w:t xml:space="preserve">centralizadas </w:t>
      </w:r>
      <w:r w:rsidR="001D6E57">
        <w:rPr>
          <w:rFonts w:ascii="Calibri" w:eastAsia="Times New Roman" w:hAnsi="Calibri" w:cs="Times New Roman"/>
          <w:b/>
          <w:bCs/>
          <w:color w:val="000000"/>
          <w:lang w:eastAsia="es-GT"/>
        </w:rPr>
        <w:t xml:space="preserve">de Gobierno </w:t>
      </w:r>
      <w:r w:rsidR="002A3678">
        <w:rPr>
          <w:rFonts w:ascii="Calibri" w:eastAsia="Times New Roman" w:hAnsi="Calibri" w:cs="Times New Roman"/>
          <w:b/>
          <w:bCs/>
          <w:color w:val="000000"/>
          <w:lang w:eastAsia="es-GT"/>
        </w:rPr>
        <w:t>de Administración Central</w:t>
      </w:r>
    </w:p>
    <w:p w14:paraId="5E7CB800" w14:textId="71ABC64B" w:rsidR="009B26EE" w:rsidRDefault="009B26EE" w:rsidP="00F9792D">
      <w:pPr>
        <w:spacing w:after="0" w:line="240" w:lineRule="auto"/>
        <w:jc w:val="center"/>
        <w:rPr>
          <w:rFonts w:ascii="Calibri" w:eastAsia="Times New Roman" w:hAnsi="Calibri" w:cs="Times New Roman"/>
          <w:b/>
          <w:bCs/>
          <w:color w:val="000000"/>
          <w:lang w:eastAsia="es-GT"/>
        </w:rPr>
      </w:pPr>
    </w:p>
    <w:tbl>
      <w:tblPr>
        <w:tblW w:w="0" w:type="auto"/>
        <w:tblCellMar>
          <w:left w:w="70" w:type="dxa"/>
          <w:right w:w="70" w:type="dxa"/>
        </w:tblCellMar>
        <w:tblLook w:val="04A0" w:firstRow="1" w:lastRow="0" w:firstColumn="1" w:lastColumn="0" w:noHBand="0" w:noVBand="1"/>
      </w:tblPr>
      <w:tblGrid>
        <w:gridCol w:w="1849"/>
        <w:gridCol w:w="1975"/>
        <w:gridCol w:w="1930"/>
        <w:gridCol w:w="1930"/>
        <w:gridCol w:w="1144"/>
      </w:tblGrid>
      <w:tr w:rsidR="009B26EE" w:rsidRPr="00B958FC" w14:paraId="24DBD227" w14:textId="77777777" w:rsidTr="009B26EE">
        <w:trPr>
          <w:trHeight w:val="877"/>
        </w:trPr>
        <w:tc>
          <w:tcPr>
            <w:tcW w:w="0" w:type="auto"/>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24493CD3" w14:textId="1441FE2F" w:rsidR="009B26EE" w:rsidRPr="00B958FC" w:rsidRDefault="00841ED0" w:rsidP="00AD52FD">
            <w:pPr>
              <w:spacing w:after="0" w:line="240" w:lineRule="auto"/>
              <w:jc w:val="center"/>
              <w:rPr>
                <w:rFonts w:ascii="Calibri" w:eastAsia="Times New Roman" w:hAnsi="Calibri" w:cs="Times New Roman"/>
                <w:b/>
                <w:bCs/>
                <w:color w:val="F2F2F2"/>
                <w:sz w:val="24"/>
                <w:szCs w:val="24"/>
                <w:lang w:eastAsia="es-GT"/>
              </w:rPr>
            </w:pPr>
            <w:r>
              <w:rPr>
                <w:rFonts w:ascii="Calibri" w:eastAsia="Times New Roman" w:hAnsi="Calibri" w:cs="Times New Roman"/>
                <w:b/>
                <w:bCs/>
                <w:color w:val="F2F2F2"/>
                <w:sz w:val="24"/>
                <w:szCs w:val="24"/>
                <w:lang w:eastAsia="es-GT"/>
              </w:rPr>
              <w:t>Ejes</w:t>
            </w:r>
          </w:p>
        </w:tc>
        <w:tc>
          <w:tcPr>
            <w:tcW w:w="0" w:type="auto"/>
            <w:tcBorders>
              <w:top w:val="single" w:sz="4" w:space="0" w:color="auto"/>
              <w:left w:val="nil"/>
              <w:bottom w:val="single" w:sz="4" w:space="0" w:color="auto"/>
              <w:right w:val="single" w:sz="4" w:space="0" w:color="auto"/>
            </w:tcBorders>
            <w:shd w:val="clear" w:color="000000" w:fill="1F4E78"/>
            <w:vAlign w:val="center"/>
            <w:hideMark/>
          </w:tcPr>
          <w:p w14:paraId="28AF30B6" w14:textId="77777777" w:rsidR="009B26EE" w:rsidRPr="00B958FC" w:rsidRDefault="009B26EE" w:rsidP="00AD52FD">
            <w:pPr>
              <w:spacing w:after="0" w:line="240" w:lineRule="auto"/>
              <w:jc w:val="center"/>
              <w:rPr>
                <w:rFonts w:ascii="Calibri" w:eastAsia="Times New Roman" w:hAnsi="Calibri" w:cs="Times New Roman"/>
                <w:b/>
                <w:bCs/>
                <w:color w:val="F2F2F2"/>
                <w:sz w:val="24"/>
                <w:szCs w:val="24"/>
                <w:lang w:eastAsia="es-GT"/>
              </w:rPr>
            </w:pPr>
            <w:r w:rsidRPr="00B958FC">
              <w:rPr>
                <w:rFonts w:ascii="Calibri" w:eastAsia="Times New Roman" w:hAnsi="Calibri" w:cs="Times New Roman"/>
                <w:b/>
                <w:bCs/>
                <w:color w:val="F2F2F2"/>
                <w:sz w:val="24"/>
                <w:szCs w:val="24"/>
                <w:lang w:eastAsia="es-GT"/>
              </w:rPr>
              <w:t>Asignado</w:t>
            </w:r>
          </w:p>
        </w:tc>
        <w:tc>
          <w:tcPr>
            <w:tcW w:w="0" w:type="auto"/>
            <w:tcBorders>
              <w:top w:val="single" w:sz="4" w:space="0" w:color="auto"/>
              <w:left w:val="nil"/>
              <w:bottom w:val="single" w:sz="4" w:space="0" w:color="auto"/>
              <w:right w:val="single" w:sz="4" w:space="0" w:color="auto"/>
            </w:tcBorders>
            <w:shd w:val="clear" w:color="000000" w:fill="1F4E78"/>
            <w:vAlign w:val="center"/>
            <w:hideMark/>
          </w:tcPr>
          <w:p w14:paraId="63EC8996" w14:textId="77777777" w:rsidR="009B26EE" w:rsidRPr="00B958FC" w:rsidRDefault="009B26EE" w:rsidP="00AD52FD">
            <w:pPr>
              <w:spacing w:after="0" w:line="240" w:lineRule="auto"/>
              <w:jc w:val="center"/>
              <w:rPr>
                <w:rFonts w:ascii="Calibri" w:eastAsia="Times New Roman" w:hAnsi="Calibri" w:cs="Times New Roman"/>
                <w:b/>
                <w:bCs/>
                <w:color w:val="F2F2F2"/>
                <w:sz w:val="24"/>
                <w:szCs w:val="24"/>
                <w:lang w:eastAsia="es-GT"/>
              </w:rPr>
            </w:pPr>
            <w:r w:rsidRPr="00B958FC">
              <w:rPr>
                <w:rFonts w:ascii="Calibri" w:eastAsia="Times New Roman" w:hAnsi="Calibri" w:cs="Times New Roman"/>
                <w:b/>
                <w:bCs/>
                <w:color w:val="F2F2F2"/>
                <w:sz w:val="24"/>
                <w:szCs w:val="24"/>
                <w:lang w:eastAsia="es-GT"/>
              </w:rPr>
              <w:t>Vigente</w:t>
            </w:r>
          </w:p>
        </w:tc>
        <w:tc>
          <w:tcPr>
            <w:tcW w:w="0" w:type="auto"/>
            <w:tcBorders>
              <w:top w:val="single" w:sz="4" w:space="0" w:color="auto"/>
              <w:left w:val="nil"/>
              <w:bottom w:val="single" w:sz="4" w:space="0" w:color="auto"/>
              <w:right w:val="single" w:sz="4" w:space="0" w:color="auto"/>
            </w:tcBorders>
            <w:shd w:val="clear" w:color="000000" w:fill="1F4E78"/>
            <w:vAlign w:val="center"/>
            <w:hideMark/>
          </w:tcPr>
          <w:p w14:paraId="046726AC" w14:textId="77777777" w:rsidR="009B26EE" w:rsidRPr="00B958FC" w:rsidRDefault="009B26EE" w:rsidP="00AD52FD">
            <w:pPr>
              <w:spacing w:after="0" w:line="240" w:lineRule="auto"/>
              <w:jc w:val="center"/>
              <w:rPr>
                <w:rFonts w:ascii="Calibri" w:eastAsia="Times New Roman" w:hAnsi="Calibri" w:cs="Times New Roman"/>
                <w:b/>
                <w:bCs/>
                <w:color w:val="F2F2F2"/>
                <w:sz w:val="24"/>
                <w:szCs w:val="24"/>
                <w:lang w:eastAsia="es-GT"/>
              </w:rPr>
            </w:pPr>
            <w:r w:rsidRPr="00B958FC">
              <w:rPr>
                <w:rFonts w:ascii="Calibri" w:eastAsia="Times New Roman" w:hAnsi="Calibri" w:cs="Times New Roman"/>
                <w:b/>
                <w:bCs/>
                <w:color w:val="F2F2F2"/>
                <w:sz w:val="24"/>
                <w:szCs w:val="24"/>
                <w:lang w:eastAsia="es-GT"/>
              </w:rPr>
              <w:t>Devengado</w:t>
            </w:r>
          </w:p>
        </w:tc>
        <w:tc>
          <w:tcPr>
            <w:tcW w:w="0" w:type="auto"/>
            <w:tcBorders>
              <w:top w:val="single" w:sz="4" w:space="0" w:color="auto"/>
              <w:left w:val="nil"/>
              <w:bottom w:val="single" w:sz="4" w:space="0" w:color="auto"/>
              <w:right w:val="single" w:sz="4" w:space="0" w:color="auto"/>
            </w:tcBorders>
            <w:shd w:val="clear" w:color="000000" w:fill="1F4E78"/>
            <w:vAlign w:val="center"/>
            <w:hideMark/>
          </w:tcPr>
          <w:p w14:paraId="04434C89" w14:textId="77777777" w:rsidR="009B26EE" w:rsidRPr="00B958FC" w:rsidRDefault="009B26EE" w:rsidP="00AD52FD">
            <w:pPr>
              <w:spacing w:after="0" w:line="240" w:lineRule="auto"/>
              <w:jc w:val="center"/>
              <w:rPr>
                <w:rFonts w:ascii="Calibri" w:eastAsia="Times New Roman" w:hAnsi="Calibri" w:cs="Times New Roman"/>
                <w:b/>
                <w:bCs/>
                <w:color w:val="F2F2F2"/>
                <w:sz w:val="24"/>
                <w:szCs w:val="24"/>
                <w:lang w:eastAsia="es-GT"/>
              </w:rPr>
            </w:pPr>
            <w:r w:rsidRPr="00B958FC">
              <w:rPr>
                <w:rFonts w:ascii="Calibri" w:eastAsia="Times New Roman" w:hAnsi="Calibri" w:cs="Times New Roman"/>
                <w:b/>
                <w:bCs/>
                <w:color w:val="F2F2F2"/>
                <w:sz w:val="24"/>
                <w:szCs w:val="24"/>
                <w:lang w:eastAsia="es-GT"/>
              </w:rPr>
              <w:t>% Ejecución</w:t>
            </w:r>
          </w:p>
        </w:tc>
      </w:tr>
      <w:tr w:rsidR="009B26EE" w:rsidRPr="00102B7D" w14:paraId="3A6632E5" w14:textId="77777777" w:rsidTr="009C1875">
        <w:trPr>
          <w:trHeight w:val="383"/>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2019E65B" w14:textId="77777777" w:rsidR="009B26EE" w:rsidRPr="00B958FC" w:rsidRDefault="009B26EE" w:rsidP="00AD52FD">
            <w:pPr>
              <w:spacing w:after="0" w:line="240" w:lineRule="auto"/>
              <w:rPr>
                <w:rFonts w:eastAsia="Times New Roman" w:cs="Times New Roman"/>
                <w:color w:val="000000"/>
                <w:sz w:val="20"/>
                <w:szCs w:val="20"/>
                <w:lang w:eastAsia="es-GT"/>
              </w:rPr>
            </w:pPr>
            <w:r w:rsidRPr="00B958FC">
              <w:rPr>
                <w:rFonts w:eastAsia="Times New Roman" w:cs="Times New Roman"/>
                <w:color w:val="000000"/>
                <w:sz w:val="20"/>
                <w:szCs w:val="20"/>
                <w:lang w:eastAsia="es-GT"/>
              </w:rPr>
              <w:t>1. Económico</w:t>
            </w:r>
          </w:p>
        </w:tc>
        <w:tc>
          <w:tcPr>
            <w:tcW w:w="0" w:type="auto"/>
            <w:tcBorders>
              <w:top w:val="nil"/>
              <w:left w:val="nil"/>
              <w:bottom w:val="single" w:sz="4" w:space="0" w:color="auto"/>
              <w:right w:val="single" w:sz="4" w:space="0" w:color="auto"/>
            </w:tcBorders>
            <w:shd w:val="clear" w:color="000000" w:fill="BDD7EE"/>
            <w:noWrap/>
            <w:vAlign w:val="center"/>
            <w:hideMark/>
          </w:tcPr>
          <w:p w14:paraId="1CA6EFC7"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62,976,927 </w:t>
            </w:r>
          </w:p>
        </w:tc>
        <w:tc>
          <w:tcPr>
            <w:tcW w:w="0" w:type="auto"/>
            <w:tcBorders>
              <w:top w:val="nil"/>
              <w:left w:val="nil"/>
              <w:bottom w:val="single" w:sz="4" w:space="0" w:color="auto"/>
              <w:right w:val="single" w:sz="4" w:space="0" w:color="auto"/>
            </w:tcBorders>
            <w:shd w:val="clear" w:color="000000" w:fill="BDD7EE"/>
            <w:noWrap/>
            <w:vAlign w:val="center"/>
            <w:hideMark/>
          </w:tcPr>
          <w:p w14:paraId="4B495A0B"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87,285,833 </w:t>
            </w:r>
          </w:p>
        </w:tc>
        <w:tc>
          <w:tcPr>
            <w:tcW w:w="0" w:type="auto"/>
            <w:tcBorders>
              <w:top w:val="nil"/>
              <w:left w:val="nil"/>
              <w:bottom w:val="single" w:sz="4" w:space="0" w:color="auto"/>
              <w:right w:val="single" w:sz="4" w:space="0" w:color="auto"/>
            </w:tcBorders>
            <w:shd w:val="clear" w:color="000000" w:fill="BDD7EE"/>
            <w:noWrap/>
            <w:vAlign w:val="center"/>
            <w:hideMark/>
          </w:tcPr>
          <w:p w14:paraId="58102D0A"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31,537,456 </w:t>
            </w:r>
          </w:p>
        </w:tc>
        <w:tc>
          <w:tcPr>
            <w:tcW w:w="0" w:type="auto"/>
            <w:tcBorders>
              <w:top w:val="nil"/>
              <w:left w:val="nil"/>
              <w:bottom w:val="single" w:sz="4" w:space="0" w:color="auto"/>
              <w:right w:val="single" w:sz="4" w:space="0" w:color="auto"/>
            </w:tcBorders>
            <w:shd w:val="clear" w:color="000000" w:fill="BDD7EE"/>
            <w:noWrap/>
            <w:vAlign w:val="center"/>
            <w:hideMark/>
          </w:tcPr>
          <w:p w14:paraId="7F9CB8B0" w14:textId="77777777" w:rsidR="009B26EE" w:rsidRPr="00B958FC" w:rsidRDefault="009B26EE" w:rsidP="00AD52FD">
            <w:pPr>
              <w:spacing w:after="0" w:line="240" w:lineRule="auto"/>
              <w:jc w:val="center"/>
              <w:rPr>
                <w:rFonts w:eastAsia="Times New Roman" w:cs="Times New Roman"/>
                <w:color w:val="000000"/>
                <w:sz w:val="20"/>
                <w:szCs w:val="20"/>
                <w:lang w:eastAsia="es-GT"/>
              </w:rPr>
            </w:pPr>
            <w:r w:rsidRPr="00B958FC">
              <w:rPr>
                <w:rFonts w:eastAsia="Times New Roman" w:cs="Times New Roman"/>
                <w:color w:val="000000"/>
                <w:sz w:val="20"/>
                <w:szCs w:val="20"/>
                <w:lang w:eastAsia="es-GT"/>
              </w:rPr>
              <w:t>36%</w:t>
            </w:r>
          </w:p>
        </w:tc>
      </w:tr>
      <w:tr w:rsidR="009B26EE" w:rsidRPr="00102B7D" w14:paraId="68D97BDA" w14:textId="77777777" w:rsidTr="009B26EE">
        <w:trPr>
          <w:trHeight w:val="594"/>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7DBB57E0" w14:textId="77777777" w:rsidR="009B26EE" w:rsidRPr="00B958FC" w:rsidRDefault="009B26EE" w:rsidP="00AD52FD">
            <w:pPr>
              <w:spacing w:after="0" w:line="240" w:lineRule="auto"/>
              <w:rPr>
                <w:rFonts w:eastAsia="Times New Roman" w:cs="Times New Roman"/>
                <w:color w:val="000000"/>
                <w:sz w:val="20"/>
                <w:szCs w:val="20"/>
                <w:lang w:eastAsia="es-GT"/>
              </w:rPr>
            </w:pPr>
            <w:r w:rsidRPr="00B958FC">
              <w:rPr>
                <w:rFonts w:eastAsia="Times New Roman" w:cs="Times New Roman"/>
                <w:color w:val="000000"/>
                <w:sz w:val="20"/>
                <w:szCs w:val="20"/>
                <w:lang w:eastAsia="es-GT"/>
              </w:rPr>
              <w:t>2. Recursos Naturales, Tierra y Vivienda</w:t>
            </w:r>
          </w:p>
        </w:tc>
        <w:tc>
          <w:tcPr>
            <w:tcW w:w="0" w:type="auto"/>
            <w:tcBorders>
              <w:top w:val="nil"/>
              <w:left w:val="nil"/>
              <w:bottom w:val="single" w:sz="4" w:space="0" w:color="auto"/>
              <w:right w:val="single" w:sz="4" w:space="0" w:color="auto"/>
            </w:tcBorders>
            <w:shd w:val="clear" w:color="000000" w:fill="BDD7EE"/>
            <w:noWrap/>
            <w:vAlign w:val="center"/>
            <w:hideMark/>
          </w:tcPr>
          <w:p w14:paraId="172720AB"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1,429,958 </w:t>
            </w:r>
          </w:p>
        </w:tc>
        <w:tc>
          <w:tcPr>
            <w:tcW w:w="0" w:type="auto"/>
            <w:tcBorders>
              <w:top w:val="nil"/>
              <w:left w:val="nil"/>
              <w:bottom w:val="single" w:sz="4" w:space="0" w:color="auto"/>
              <w:right w:val="single" w:sz="4" w:space="0" w:color="auto"/>
            </w:tcBorders>
            <w:shd w:val="clear" w:color="000000" w:fill="BDD7EE"/>
            <w:noWrap/>
            <w:vAlign w:val="center"/>
            <w:hideMark/>
          </w:tcPr>
          <w:p w14:paraId="531CF000"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941,282 </w:t>
            </w:r>
          </w:p>
        </w:tc>
        <w:tc>
          <w:tcPr>
            <w:tcW w:w="0" w:type="auto"/>
            <w:tcBorders>
              <w:top w:val="nil"/>
              <w:left w:val="nil"/>
              <w:bottom w:val="single" w:sz="4" w:space="0" w:color="auto"/>
              <w:right w:val="single" w:sz="4" w:space="0" w:color="auto"/>
            </w:tcBorders>
            <w:shd w:val="clear" w:color="000000" w:fill="BDD7EE"/>
            <w:noWrap/>
            <w:vAlign w:val="center"/>
            <w:hideMark/>
          </w:tcPr>
          <w:p w14:paraId="18300C77"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499,228 </w:t>
            </w:r>
          </w:p>
        </w:tc>
        <w:tc>
          <w:tcPr>
            <w:tcW w:w="0" w:type="auto"/>
            <w:tcBorders>
              <w:top w:val="nil"/>
              <w:left w:val="nil"/>
              <w:bottom w:val="single" w:sz="4" w:space="0" w:color="auto"/>
              <w:right w:val="single" w:sz="4" w:space="0" w:color="auto"/>
            </w:tcBorders>
            <w:shd w:val="clear" w:color="000000" w:fill="BDD7EE"/>
            <w:noWrap/>
            <w:vAlign w:val="center"/>
            <w:hideMark/>
          </w:tcPr>
          <w:p w14:paraId="065AEA41" w14:textId="77777777" w:rsidR="009B26EE" w:rsidRPr="00B958FC" w:rsidRDefault="009B26EE" w:rsidP="00AD52FD">
            <w:pPr>
              <w:spacing w:after="0" w:line="240" w:lineRule="auto"/>
              <w:jc w:val="center"/>
              <w:rPr>
                <w:rFonts w:eastAsia="Times New Roman" w:cs="Times New Roman"/>
                <w:color w:val="000000"/>
                <w:sz w:val="20"/>
                <w:szCs w:val="20"/>
                <w:lang w:eastAsia="es-GT"/>
              </w:rPr>
            </w:pPr>
            <w:r w:rsidRPr="00B958FC">
              <w:rPr>
                <w:rFonts w:eastAsia="Times New Roman" w:cs="Times New Roman"/>
                <w:color w:val="000000"/>
                <w:sz w:val="20"/>
                <w:szCs w:val="20"/>
                <w:lang w:eastAsia="es-GT"/>
              </w:rPr>
              <w:t>53%</w:t>
            </w:r>
          </w:p>
        </w:tc>
      </w:tr>
      <w:tr w:rsidR="009B26EE" w:rsidRPr="00102B7D" w14:paraId="7C9967F7" w14:textId="77777777" w:rsidTr="009C1875">
        <w:trPr>
          <w:trHeight w:val="372"/>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7A715BE5" w14:textId="77777777" w:rsidR="009B26EE" w:rsidRPr="00B958FC" w:rsidRDefault="009B26EE" w:rsidP="00AD52FD">
            <w:pPr>
              <w:spacing w:after="0" w:line="240" w:lineRule="auto"/>
              <w:rPr>
                <w:rFonts w:eastAsia="Times New Roman" w:cs="Times New Roman"/>
                <w:color w:val="000000"/>
                <w:sz w:val="20"/>
                <w:szCs w:val="20"/>
                <w:lang w:eastAsia="es-GT"/>
              </w:rPr>
            </w:pPr>
            <w:r w:rsidRPr="00B958FC">
              <w:rPr>
                <w:rFonts w:eastAsia="Times New Roman" w:cs="Times New Roman"/>
                <w:color w:val="000000"/>
                <w:sz w:val="20"/>
                <w:szCs w:val="20"/>
                <w:lang w:eastAsia="es-GT"/>
              </w:rPr>
              <w:t>3. Educación</w:t>
            </w:r>
          </w:p>
        </w:tc>
        <w:tc>
          <w:tcPr>
            <w:tcW w:w="0" w:type="auto"/>
            <w:tcBorders>
              <w:top w:val="nil"/>
              <w:left w:val="nil"/>
              <w:bottom w:val="single" w:sz="4" w:space="0" w:color="auto"/>
              <w:right w:val="single" w:sz="4" w:space="0" w:color="auto"/>
            </w:tcBorders>
            <w:shd w:val="clear" w:color="000000" w:fill="BDD7EE"/>
            <w:noWrap/>
            <w:vAlign w:val="center"/>
            <w:hideMark/>
          </w:tcPr>
          <w:p w14:paraId="69DF4A23"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214,972,873 </w:t>
            </w:r>
          </w:p>
        </w:tc>
        <w:tc>
          <w:tcPr>
            <w:tcW w:w="0" w:type="auto"/>
            <w:tcBorders>
              <w:top w:val="nil"/>
              <w:left w:val="nil"/>
              <w:bottom w:val="single" w:sz="4" w:space="0" w:color="auto"/>
              <w:right w:val="single" w:sz="4" w:space="0" w:color="auto"/>
            </w:tcBorders>
            <w:shd w:val="clear" w:color="000000" w:fill="BDD7EE"/>
            <w:noWrap/>
            <w:vAlign w:val="center"/>
            <w:hideMark/>
          </w:tcPr>
          <w:p w14:paraId="362C1AEC"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211,492,154 </w:t>
            </w:r>
          </w:p>
        </w:tc>
        <w:tc>
          <w:tcPr>
            <w:tcW w:w="0" w:type="auto"/>
            <w:tcBorders>
              <w:top w:val="nil"/>
              <w:left w:val="nil"/>
              <w:bottom w:val="single" w:sz="4" w:space="0" w:color="auto"/>
              <w:right w:val="single" w:sz="4" w:space="0" w:color="auto"/>
            </w:tcBorders>
            <w:shd w:val="clear" w:color="000000" w:fill="BDD7EE"/>
            <w:noWrap/>
            <w:vAlign w:val="center"/>
            <w:hideMark/>
          </w:tcPr>
          <w:p w14:paraId="5511B363"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50,937,157 </w:t>
            </w:r>
          </w:p>
        </w:tc>
        <w:tc>
          <w:tcPr>
            <w:tcW w:w="0" w:type="auto"/>
            <w:tcBorders>
              <w:top w:val="nil"/>
              <w:left w:val="nil"/>
              <w:bottom w:val="single" w:sz="4" w:space="0" w:color="auto"/>
              <w:right w:val="single" w:sz="4" w:space="0" w:color="auto"/>
            </w:tcBorders>
            <w:shd w:val="clear" w:color="000000" w:fill="BDD7EE"/>
            <w:noWrap/>
            <w:vAlign w:val="center"/>
            <w:hideMark/>
          </w:tcPr>
          <w:p w14:paraId="231BCD22" w14:textId="77777777" w:rsidR="009B26EE" w:rsidRPr="00B958FC" w:rsidRDefault="009B26EE" w:rsidP="00AD52FD">
            <w:pPr>
              <w:spacing w:after="0" w:line="240" w:lineRule="auto"/>
              <w:jc w:val="center"/>
              <w:rPr>
                <w:rFonts w:eastAsia="Times New Roman" w:cs="Times New Roman"/>
                <w:color w:val="000000"/>
                <w:sz w:val="20"/>
                <w:szCs w:val="20"/>
                <w:lang w:eastAsia="es-GT"/>
              </w:rPr>
            </w:pPr>
            <w:r w:rsidRPr="00B958FC">
              <w:rPr>
                <w:rFonts w:eastAsia="Times New Roman" w:cs="Times New Roman"/>
                <w:color w:val="000000"/>
                <w:sz w:val="20"/>
                <w:szCs w:val="20"/>
                <w:lang w:eastAsia="es-GT"/>
              </w:rPr>
              <w:t>24%</w:t>
            </w:r>
          </w:p>
        </w:tc>
      </w:tr>
      <w:tr w:rsidR="009B26EE" w:rsidRPr="00102B7D" w14:paraId="147FE0C3" w14:textId="77777777" w:rsidTr="009C1875">
        <w:trPr>
          <w:trHeight w:val="278"/>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24366E09" w14:textId="77777777" w:rsidR="009B26EE" w:rsidRPr="00B958FC" w:rsidRDefault="009B26EE" w:rsidP="00AD52FD">
            <w:pPr>
              <w:spacing w:after="0" w:line="240" w:lineRule="auto"/>
              <w:rPr>
                <w:rFonts w:eastAsia="Times New Roman" w:cs="Times New Roman"/>
                <w:color w:val="000000"/>
                <w:sz w:val="20"/>
                <w:szCs w:val="20"/>
                <w:lang w:eastAsia="es-GT"/>
              </w:rPr>
            </w:pPr>
            <w:r w:rsidRPr="00B958FC">
              <w:rPr>
                <w:rFonts w:eastAsia="Times New Roman" w:cs="Times New Roman"/>
                <w:color w:val="000000"/>
                <w:sz w:val="20"/>
                <w:szCs w:val="20"/>
                <w:lang w:eastAsia="es-GT"/>
              </w:rPr>
              <w:t>4. Salud</w:t>
            </w:r>
          </w:p>
        </w:tc>
        <w:tc>
          <w:tcPr>
            <w:tcW w:w="0" w:type="auto"/>
            <w:tcBorders>
              <w:top w:val="nil"/>
              <w:left w:val="nil"/>
              <w:bottom w:val="single" w:sz="4" w:space="0" w:color="auto"/>
              <w:right w:val="single" w:sz="4" w:space="0" w:color="auto"/>
            </w:tcBorders>
            <w:shd w:val="clear" w:color="000000" w:fill="BDD7EE"/>
            <w:noWrap/>
            <w:vAlign w:val="center"/>
            <w:hideMark/>
          </w:tcPr>
          <w:p w14:paraId="57281A1F"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920,006,915 </w:t>
            </w:r>
          </w:p>
        </w:tc>
        <w:tc>
          <w:tcPr>
            <w:tcW w:w="0" w:type="auto"/>
            <w:tcBorders>
              <w:top w:val="nil"/>
              <w:left w:val="nil"/>
              <w:bottom w:val="single" w:sz="4" w:space="0" w:color="auto"/>
              <w:right w:val="single" w:sz="4" w:space="0" w:color="auto"/>
            </w:tcBorders>
            <w:shd w:val="clear" w:color="000000" w:fill="BDD7EE"/>
            <w:noWrap/>
            <w:vAlign w:val="center"/>
            <w:hideMark/>
          </w:tcPr>
          <w:p w14:paraId="387F02B6"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980,358,651 </w:t>
            </w:r>
          </w:p>
        </w:tc>
        <w:tc>
          <w:tcPr>
            <w:tcW w:w="0" w:type="auto"/>
            <w:tcBorders>
              <w:top w:val="nil"/>
              <w:left w:val="nil"/>
              <w:bottom w:val="single" w:sz="4" w:space="0" w:color="auto"/>
              <w:right w:val="single" w:sz="4" w:space="0" w:color="auto"/>
            </w:tcBorders>
            <w:shd w:val="clear" w:color="000000" w:fill="BDD7EE"/>
            <w:noWrap/>
            <w:vAlign w:val="center"/>
            <w:hideMark/>
          </w:tcPr>
          <w:p w14:paraId="7B97C5B9"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404,114,684 </w:t>
            </w:r>
          </w:p>
        </w:tc>
        <w:tc>
          <w:tcPr>
            <w:tcW w:w="0" w:type="auto"/>
            <w:tcBorders>
              <w:top w:val="nil"/>
              <w:left w:val="nil"/>
              <w:bottom w:val="single" w:sz="4" w:space="0" w:color="auto"/>
              <w:right w:val="single" w:sz="4" w:space="0" w:color="auto"/>
            </w:tcBorders>
            <w:shd w:val="clear" w:color="000000" w:fill="BDD7EE"/>
            <w:noWrap/>
            <w:vAlign w:val="center"/>
            <w:hideMark/>
          </w:tcPr>
          <w:p w14:paraId="08894099" w14:textId="77777777" w:rsidR="009B26EE" w:rsidRPr="00B958FC" w:rsidRDefault="009B26EE" w:rsidP="00AD52FD">
            <w:pPr>
              <w:spacing w:after="0" w:line="240" w:lineRule="auto"/>
              <w:jc w:val="center"/>
              <w:rPr>
                <w:rFonts w:eastAsia="Times New Roman" w:cs="Times New Roman"/>
                <w:color w:val="000000"/>
                <w:sz w:val="20"/>
                <w:szCs w:val="20"/>
                <w:lang w:eastAsia="es-GT"/>
              </w:rPr>
            </w:pPr>
            <w:r w:rsidRPr="00B958FC">
              <w:rPr>
                <w:rFonts w:eastAsia="Times New Roman" w:cs="Times New Roman"/>
                <w:color w:val="000000"/>
                <w:sz w:val="20"/>
                <w:szCs w:val="20"/>
                <w:lang w:eastAsia="es-GT"/>
              </w:rPr>
              <w:t>41%</w:t>
            </w:r>
          </w:p>
        </w:tc>
      </w:tr>
      <w:tr w:rsidR="009B26EE" w:rsidRPr="00102B7D" w14:paraId="07A43219" w14:textId="77777777" w:rsidTr="009B26EE">
        <w:trPr>
          <w:trHeight w:val="578"/>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08DE4EA4" w14:textId="77777777" w:rsidR="009B26EE" w:rsidRPr="00B958FC" w:rsidRDefault="009B26EE" w:rsidP="00AD52FD">
            <w:pPr>
              <w:spacing w:after="0" w:line="240" w:lineRule="auto"/>
              <w:rPr>
                <w:rFonts w:eastAsia="Times New Roman" w:cs="Times New Roman"/>
                <w:color w:val="000000"/>
                <w:sz w:val="20"/>
                <w:szCs w:val="20"/>
                <w:lang w:eastAsia="es-GT"/>
              </w:rPr>
            </w:pPr>
            <w:r w:rsidRPr="00B958FC">
              <w:rPr>
                <w:rFonts w:eastAsia="Times New Roman" w:cs="Times New Roman"/>
                <w:color w:val="000000"/>
                <w:sz w:val="20"/>
                <w:szCs w:val="20"/>
                <w:lang w:eastAsia="es-GT"/>
              </w:rPr>
              <w:t>5. Violencia Contra las Mujeres</w:t>
            </w:r>
          </w:p>
        </w:tc>
        <w:tc>
          <w:tcPr>
            <w:tcW w:w="0" w:type="auto"/>
            <w:tcBorders>
              <w:top w:val="nil"/>
              <w:left w:val="nil"/>
              <w:bottom w:val="single" w:sz="4" w:space="0" w:color="auto"/>
              <w:right w:val="single" w:sz="4" w:space="0" w:color="auto"/>
            </w:tcBorders>
            <w:shd w:val="clear" w:color="000000" w:fill="BDD7EE"/>
            <w:noWrap/>
            <w:vAlign w:val="center"/>
            <w:hideMark/>
          </w:tcPr>
          <w:p w14:paraId="537BAD16"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3,904,108,197 </w:t>
            </w:r>
          </w:p>
        </w:tc>
        <w:tc>
          <w:tcPr>
            <w:tcW w:w="0" w:type="auto"/>
            <w:tcBorders>
              <w:top w:val="nil"/>
              <w:left w:val="nil"/>
              <w:bottom w:val="single" w:sz="4" w:space="0" w:color="auto"/>
              <w:right w:val="single" w:sz="4" w:space="0" w:color="auto"/>
            </w:tcBorders>
            <w:shd w:val="clear" w:color="000000" w:fill="BDD7EE"/>
            <w:noWrap/>
            <w:vAlign w:val="center"/>
            <w:hideMark/>
          </w:tcPr>
          <w:p w14:paraId="4AAC1815"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3,514,239,768 </w:t>
            </w:r>
          </w:p>
        </w:tc>
        <w:tc>
          <w:tcPr>
            <w:tcW w:w="0" w:type="auto"/>
            <w:tcBorders>
              <w:top w:val="nil"/>
              <w:left w:val="nil"/>
              <w:bottom w:val="single" w:sz="4" w:space="0" w:color="auto"/>
              <w:right w:val="single" w:sz="4" w:space="0" w:color="auto"/>
            </w:tcBorders>
            <w:shd w:val="clear" w:color="000000" w:fill="BDD7EE"/>
            <w:noWrap/>
            <w:vAlign w:val="center"/>
            <w:hideMark/>
          </w:tcPr>
          <w:p w14:paraId="4724B778"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1,686,417,929 </w:t>
            </w:r>
          </w:p>
        </w:tc>
        <w:tc>
          <w:tcPr>
            <w:tcW w:w="0" w:type="auto"/>
            <w:tcBorders>
              <w:top w:val="nil"/>
              <w:left w:val="nil"/>
              <w:bottom w:val="single" w:sz="4" w:space="0" w:color="auto"/>
              <w:right w:val="single" w:sz="4" w:space="0" w:color="auto"/>
            </w:tcBorders>
            <w:shd w:val="clear" w:color="000000" w:fill="BDD7EE"/>
            <w:noWrap/>
            <w:vAlign w:val="center"/>
            <w:hideMark/>
          </w:tcPr>
          <w:p w14:paraId="669F4843" w14:textId="77777777" w:rsidR="009B26EE" w:rsidRPr="00B958FC" w:rsidRDefault="009B26EE" w:rsidP="00AD52FD">
            <w:pPr>
              <w:spacing w:after="0" w:line="240" w:lineRule="auto"/>
              <w:jc w:val="center"/>
              <w:rPr>
                <w:rFonts w:eastAsia="Times New Roman" w:cs="Times New Roman"/>
                <w:color w:val="000000"/>
                <w:sz w:val="20"/>
                <w:szCs w:val="20"/>
                <w:lang w:eastAsia="es-GT"/>
              </w:rPr>
            </w:pPr>
            <w:r w:rsidRPr="00B958FC">
              <w:rPr>
                <w:rFonts w:eastAsia="Times New Roman" w:cs="Times New Roman"/>
                <w:color w:val="000000"/>
                <w:sz w:val="20"/>
                <w:szCs w:val="20"/>
                <w:lang w:eastAsia="es-GT"/>
              </w:rPr>
              <w:t>48%</w:t>
            </w:r>
          </w:p>
        </w:tc>
      </w:tr>
      <w:tr w:rsidR="009B26EE" w:rsidRPr="00102B7D" w14:paraId="77A766E4" w14:textId="77777777" w:rsidTr="009C1875">
        <w:trPr>
          <w:trHeight w:val="392"/>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412290F2" w14:textId="77777777" w:rsidR="009B26EE" w:rsidRPr="00B958FC" w:rsidRDefault="009B26EE" w:rsidP="00AD52FD">
            <w:pPr>
              <w:spacing w:after="0" w:line="240" w:lineRule="auto"/>
              <w:rPr>
                <w:rFonts w:eastAsia="Times New Roman" w:cs="Times New Roman"/>
                <w:color w:val="000000"/>
                <w:sz w:val="20"/>
                <w:szCs w:val="20"/>
                <w:lang w:eastAsia="es-GT"/>
              </w:rPr>
            </w:pPr>
            <w:r w:rsidRPr="00B958FC">
              <w:rPr>
                <w:rFonts w:eastAsia="Times New Roman" w:cs="Times New Roman"/>
                <w:color w:val="000000"/>
                <w:sz w:val="20"/>
                <w:szCs w:val="20"/>
                <w:lang w:eastAsia="es-GT"/>
              </w:rPr>
              <w:t>6. Equidad Jurídica</w:t>
            </w:r>
          </w:p>
        </w:tc>
        <w:tc>
          <w:tcPr>
            <w:tcW w:w="0" w:type="auto"/>
            <w:tcBorders>
              <w:top w:val="nil"/>
              <w:left w:val="nil"/>
              <w:bottom w:val="single" w:sz="4" w:space="0" w:color="auto"/>
              <w:right w:val="single" w:sz="4" w:space="0" w:color="auto"/>
            </w:tcBorders>
            <w:shd w:val="clear" w:color="000000" w:fill="BDD7EE"/>
            <w:noWrap/>
            <w:vAlign w:val="center"/>
            <w:hideMark/>
          </w:tcPr>
          <w:p w14:paraId="661F5FAA" w14:textId="6C31C35E"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B958FC">
              <w:rPr>
                <w:rFonts w:eastAsia="Times New Roman" w:cs="Times New Roman"/>
                <w:color w:val="000000"/>
                <w:sz w:val="20"/>
                <w:szCs w:val="20"/>
                <w:lang w:eastAsia="es-GT"/>
              </w:rPr>
              <w:t xml:space="preserve">   </w:t>
            </w:r>
          </w:p>
        </w:tc>
        <w:tc>
          <w:tcPr>
            <w:tcW w:w="0" w:type="auto"/>
            <w:tcBorders>
              <w:top w:val="nil"/>
              <w:left w:val="nil"/>
              <w:bottom w:val="single" w:sz="4" w:space="0" w:color="auto"/>
              <w:right w:val="single" w:sz="4" w:space="0" w:color="auto"/>
            </w:tcBorders>
            <w:shd w:val="clear" w:color="000000" w:fill="BDD7EE"/>
            <w:noWrap/>
            <w:vAlign w:val="center"/>
            <w:hideMark/>
          </w:tcPr>
          <w:p w14:paraId="5CA5EF19" w14:textId="4E41B018"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Q                             </w:t>
            </w:r>
            <w:r>
              <w:rPr>
                <w:rFonts w:eastAsia="Times New Roman" w:cs="Times New Roman"/>
                <w:color w:val="000000"/>
                <w:sz w:val="20"/>
                <w:szCs w:val="20"/>
                <w:lang w:eastAsia="es-GT"/>
              </w:rPr>
              <w:t>0.0</w:t>
            </w:r>
            <w:r w:rsidRPr="00B958FC">
              <w:rPr>
                <w:rFonts w:eastAsia="Times New Roman" w:cs="Times New Roman"/>
                <w:color w:val="000000"/>
                <w:sz w:val="20"/>
                <w:szCs w:val="20"/>
                <w:lang w:eastAsia="es-GT"/>
              </w:rPr>
              <w:t xml:space="preserve">   </w:t>
            </w:r>
          </w:p>
        </w:tc>
        <w:tc>
          <w:tcPr>
            <w:tcW w:w="0" w:type="auto"/>
            <w:tcBorders>
              <w:top w:val="nil"/>
              <w:left w:val="nil"/>
              <w:bottom w:val="single" w:sz="4" w:space="0" w:color="auto"/>
              <w:right w:val="single" w:sz="4" w:space="0" w:color="auto"/>
            </w:tcBorders>
            <w:shd w:val="clear" w:color="000000" w:fill="BDD7EE"/>
            <w:noWrap/>
            <w:vAlign w:val="center"/>
            <w:hideMark/>
          </w:tcPr>
          <w:p w14:paraId="64D272F6" w14:textId="363D30F0"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B958FC">
              <w:rPr>
                <w:rFonts w:eastAsia="Times New Roman" w:cs="Times New Roman"/>
                <w:color w:val="000000"/>
                <w:sz w:val="20"/>
                <w:szCs w:val="20"/>
                <w:lang w:eastAsia="es-GT"/>
              </w:rPr>
              <w:t xml:space="preserve">      </w:t>
            </w:r>
          </w:p>
        </w:tc>
        <w:tc>
          <w:tcPr>
            <w:tcW w:w="0" w:type="auto"/>
            <w:tcBorders>
              <w:top w:val="nil"/>
              <w:left w:val="nil"/>
              <w:bottom w:val="single" w:sz="4" w:space="0" w:color="auto"/>
              <w:right w:val="single" w:sz="4" w:space="0" w:color="auto"/>
            </w:tcBorders>
            <w:shd w:val="clear" w:color="000000" w:fill="BDD7EE"/>
            <w:noWrap/>
            <w:vAlign w:val="center"/>
            <w:hideMark/>
          </w:tcPr>
          <w:p w14:paraId="7891423F" w14:textId="77777777" w:rsidR="009B26EE" w:rsidRPr="00B958FC" w:rsidRDefault="009B26EE" w:rsidP="00AD52FD">
            <w:pPr>
              <w:spacing w:after="0" w:line="240" w:lineRule="auto"/>
              <w:jc w:val="center"/>
              <w:rPr>
                <w:rFonts w:eastAsia="Times New Roman" w:cs="Times New Roman"/>
                <w:color w:val="000000"/>
                <w:sz w:val="20"/>
                <w:szCs w:val="20"/>
                <w:lang w:eastAsia="es-GT"/>
              </w:rPr>
            </w:pPr>
            <w:r w:rsidRPr="00B958FC">
              <w:rPr>
                <w:rFonts w:eastAsia="Times New Roman" w:cs="Times New Roman"/>
                <w:color w:val="000000"/>
                <w:sz w:val="20"/>
                <w:szCs w:val="20"/>
                <w:lang w:eastAsia="es-GT"/>
              </w:rPr>
              <w:t>0%</w:t>
            </w:r>
          </w:p>
        </w:tc>
      </w:tr>
      <w:tr w:rsidR="009B26EE" w:rsidRPr="00102B7D" w14:paraId="3EEB8F52" w14:textId="77777777" w:rsidTr="009B26EE">
        <w:trPr>
          <w:trHeight w:val="578"/>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6C232A58" w14:textId="77777777" w:rsidR="009B26EE" w:rsidRPr="00B958FC" w:rsidRDefault="009B26EE" w:rsidP="00AD52FD">
            <w:pPr>
              <w:spacing w:after="0" w:line="240" w:lineRule="auto"/>
              <w:rPr>
                <w:rFonts w:eastAsia="Times New Roman" w:cs="Times New Roman"/>
                <w:color w:val="000000"/>
                <w:sz w:val="20"/>
                <w:szCs w:val="20"/>
                <w:lang w:eastAsia="es-GT"/>
              </w:rPr>
            </w:pPr>
            <w:r w:rsidRPr="00B958FC">
              <w:rPr>
                <w:rFonts w:eastAsia="Times New Roman" w:cs="Times New Roman"/>
                <w:color w:val="000000"/>
                <w:sz w:val="20"/>
                <w:szCs w:val="20"/>
                <w:lang w:eastAsia="es-GT"/>
              </w:rPr>
              <w:t>7. Racismo y Discriminación</w:t>
            </w:r>
          </w:p>
        </w:tc>
        <w:tc>
          <w:tcPr>
            <w:tcW w:w="0" w:type="auto"/>
            <w:tcBorders>
              <w:top w:val="nil"/>
              <w:left w:val="nil"/>
              <w:bottom w:val="single" w:sz="4" w:space="0" w:color="auto"/>
              <w:right w:val="single" w:sz="4" w:space="0" w:color="auto"/>
            </w:tcBorders>
            <w:shd w:val="clear" w:color="000000" w:fill="BDD7EE"/>
            <w:noWrap/>
            <w:vAlign w:val="center"/>
            <w:hideMark/>
          </w:tcPr>
          <w:p w14:paraId="1C1C5301" w14:textId="0224C671"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Q                             </w:t>
            </w:r>
            <w:r>
              <w:rPr>
                <w:rFonts w:eastAsia="Times New Roman" w:cs="Times New Roman"/>
                <w:color w:val="000000"/>
                <w:sz w:val="20"/>
                <w:szCs w:val="20"/>
                <w:lang w:eastAsia="es-GT"/>
              </w:rPr>
              <w:t>0.0</w:t>
            </w:r>
            <w:r w:rsidRPr="00B958FC">
              <w:rPr>
                <w:rFonts w:eastAsia="Times New Roman" w:cs="Times New Roman"/>
                <w:color w:val="000000"/>
                <w:sz w:val="20"/>
                <w:szCs w:val="20"/>
                <w:lang w:eastAsia="es-GT"/>
              </w:rPr>
              <w:t xml:space="preserve">   </w:t>
            </w:r>
          </w:p>
        </w:tc>
        <w:tc>
          <w:tcPr>
            <w:tcW w:w="0" w:type="auto"/>
            <w:tcBorders>
              <w:top w:val="nil"/>
              <w:left w:val="nil"/>
              <w:bottom w:val="single" w:sz="4" w:space="0" w:color="auto"/>
              <w:right w:val="single" w:sz="4" w:space="0" w:color="auto"/>
            </w:tcBorders>
            <w:shd w:val="clear" w:color="000000" w:fill="BDD7EE"/>
            <w:noWrap/>
            <w:vAlign w:val="center"/>
            <w:hideMark/>
          </w:tcPr>
          <w:p w14:paraId="05A90989" w14:textId="201AEA2D"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Q                             </w:t>
            </w:r>
            <w:r>
              <w:rPr>
                <w:rFonts w:eastAsia="Times New Roman" w:cs="Times New Roman"/>
                <w:color w:val="000000"/>
                <w:sz w:val="20"/>
                <w:szCs w:val="20"/>
                <w:lang w:eastAsia="es-GT"/>
              </w:rPr>
              <w:t>0.0</w:t>
            </w:r>
            <w:r w:rsidRPr="00B958FC">
              <w:rPr>
                <w:rFonts w:eastAsia="Times New Roman" w:cs="Times New Roman"/>
                <w:color w:val="000000"/>
                <w:sz w:val="20"/>
                <w:szCs w:val="20"/>
                <w:lang w:eastAsia="es-GT"/>
              </w:rPr>
              <w:t xml:space="preserve">   </w:t>
            </w:r>
          </w:p>
        </w:tc>
        <w:tc>
          <w:tcPr>
            <w:tcW w:w="0" w:type="auto"/>
            <w:tcBorders>
              <w:top w:val="nil"/>
              <w:left w:val="nil"/>
              <w:bottom w:val="single" w:sz="4" w:space="0" w:color="auto"/>
              <w:right w:val="single" w:sz="4" w:space="0" w:color="auto"/>
            </w:tcBorders>
            <w:shd w:val="clear" w:color="000000" w:fill="BDD7EE"/>
            <w:noWrap/>
            <w:vAlign w:val="center"/>
            <w:hideMark/>
          </w:tcPr>
          <w:p w14:paraId="40DF7AC7" w14:textId="08854EB1"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Q                               </w:t>
            </w:r>
            <w:r>
              <w:rPr>
                <w:rFonts w:eastAsia="Times New Roman" w:cs="Times New Roman"/>
                <w:color w:val="000000"/>
                <w:sz w:val="20"/>
                <w:szCs w:val="20"/>
                <w:lang w:eastAsia="es-GT"/>
              </w:rPr>
              <w:t>0.0</w:t>
            </w:r>
            <w:r w:rsidRPr="00B958FC">
              <w:rPr>
                <w:rFonts w:eastAsia="Times New Roman" w:cs="Times New Roman"/>
                <w:color w:val="000000"/>
                <w:sz w:val="20"/>
                <w:szCs w:val="20"/>
                <w:lang w:eastAsia="es-GT"/>
              </w:rPr>
              <w:t xml:space="preserve">   </w:t>
            </w:r>
          </w:p>
        </w:tc>
        <w:tc>
          <w:tcPr>
            <w:tcW w:w="0" w:type="auto"/>
            <w:tcBorders>
              <w:top w:val="nil"/>
              <w:left w:val="nil"/>
              <w:bottom w:val="single" w:sz="4" w:space="0" w:color="auto"/>
              <w:right w:val="single" w:sz="4" w:space="0" w:color="auto"/>
            </w:tcBorders>
            <w:shd w:val="clear" w:color="000000" w:fill="BDD7EE"/>
            <w:noWrap/>
            <w:vAlign w:val="center"/>
            <w:hideMark/>
          </w:tcPr>
          <w:p w14:paraId="5875EC00" w14:textId="77777777" w:rsidR="009B26EE" w:rsidRPr="00B958FC" w:rsidRDefault="009B26EE" w:rsidP="00AD52FD">
            <w:pPr>
              <w:spacing w:after="0" w:line="240" w:lineRule="auto"/>
              <w:jc w:val="center"/>
              <w:rPr>
                <w:rFonts w:eastAsia="Times New Roman" w:cs="Times New Roman"/>
                <w:color w:val="000000"/>
                <w:sz w:val="20"/>
                <w:szCs w:val="20"/>
                <w:lang w:eastAsia="es-GT"/>
              </w:rPr>
            </w:pPr>
            <w:r w:rsidRPr="00B958FC">
              <w:rPr>
                <w:rFonts w:eastAsia="Times New Roman" w:cs="Times New Roman"/>
                <w:color w:val="000000"/>
                <w:sz w:val="20"/>
                <w:szCs w:val="20"/>
                <w:lang w:eastAsia="es-GT"/>
              </w:rPr>
              <w:t>0%</w:t>
            </w:r>
          </w:p>
        </w:tc>
      </w:tr>
      <w:tr w:rsidR="009B26EE" w:rsidRPr="00102B7D" w14:paraId="19D1AD36" w14:textId="77777777" w:rsidTr="009B26EE">
        <w:trPr>
          <w:trHeight w:val="578"/>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6DE61607" w14:textId="77777777" w:rsidR="009B26EE" w:rsidRPr="00B958FC" w:rsidRDefault="009B26EE" w:rsidP="00AD52FD">
            <w:pPr>
              <w:spacing w:after="0" w:line="240" w:lineRule="auto"/>
              <w:rPr>
                <w:rFonts w:eastAsia="Times New Roman" w:cs="Times New Roman"/>
                <w:color w:val="000000"/>
                <w:sz w:val="20"/>
                <w:szCs w:val="20"/>
                <w:lang w:eastAsia="es-GT"/>
              </w:rPr>
            </w:pPr>
            <w:r w:rsidRPr="00B958FC">
              <w:rPr>
                <w:rFonts w:eastAsia="Times New Roman" w:cs="Times New Roman"/>
                <w:color w:val="000000"/>
                <w:sz w:val="20"/>
                <w:szCs w:val="20"/>
                <w:lang w:eastAsia="es-GT"/>
              </w:rPr>
              <w:t>8. Desarrollo Cultural</w:t>
            </w:r>
          </w:p>
        </w:tc>
        <w:tc>
          <w:tcPr>
            <w:tcW w:w="0" w:type="auto"/>
            <w:tcBorders>
              <w:top w:val="nil"/>
              <w:left w:val="nil"/>
              <w:bottom w:val="single" w:sz="4" w:space="0" w:color="auto"/>
              <w:right w:val="single" w:sz="4" w:space="0" w:color="auto"/>
            </w:tcBorders>
            <w:shd w:val="clear" w:color="000000" w:fill="BDD7EE"/>
            <w:noWrap/>
            <w:vAlign w:val="center"/>
            <w:hideMark/>
          </w:tcPr>
          <w:p w14:paraId="2EE7F132"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8,400,967 </w:t>
            </w:r>
          </w:p>
        </w:tc>
        <w:tc>
          <w:tcPr>
            <w:tcW w:w="0" w:type="auto"/>
            <w:tcBorders>
              <w:top w:val="nil"/>
              <w:left w:val="nil"/>
              <w:bottom w:val="single" w:sz="4" w:space="0" w:color="auto"/>
              <w:right w:val="single" w:sz="4" w:space="0" w:color="auto"/>
            </w:tcBorders>
            <w:shd w:val="clear" w:color="000000" w:fill="BDD7EE"/>
            <w:noWrap/>
            <w:vAlign w:val="center"/>
            <w:hideMark/>
          </w:tcPr>
          <w:p w14:paraId="131CDF50"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14,716,028 </w:t>
            </w:r>
          </w:p>
        </w:tc>
        <w:tc>
          <w:tcPr>
            <w:tcW w:w="0" w:type="auto"/>
            <w:tcBorders>
              <w:top w:val="nil"/>
              <w:left w:val="nil"/>
              <w:bottom w:val="single" w:sz="4" w:space="0" w:color="auto"/>
              <w:right w:val="single" w:sz="4" w:space="0" w:color="auto"/>
            </w:tcBorders>
            <w:shd w:val="clear" w:color="000000" w:fill="BDD7EE"/>
            <w:noWrap/>
            <w:vAlign w:val="center"/>
            <w:hideMark/>
          </w:tcPr>
          <w:p w14:paraId="55AFB2DD"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3,820,652 </w:t>
            </w:r>
          </w:p>
        </w:tc>
        <w:tc>
          <w:tcPr>
            <w:tcW w:w="0" w:type="auto"/>
            <w:tcBorders>
              <w:top w:val="nil"/>
              <w:left w:val="nil"/>
              <w:bottom w:val="single" w:sz="4" w:space="0" w:color="auto"/>
              <w:right w:val="single" w:sz="4" w:space="0" w:color="auto"/>
            </w:tcBorders>
            <w:shd w:val="clear" w:color="000000" w:fill="BDD7EE"/>
            <w:noWrap/>
            <w:vAlign w:val="center"/>
            <w:hideMark/>
          </w:tcPr>
          <w:p w14:paraId="506DA7F8" w14:textId="77777777" w:rsidR="009B26EE" w:rsidRPr="00B958FC" w:rsidRDefault="009B26EE" w:rsidP="00AD52FD">
            <w:pPr>
              <w:spacing w:after="0" w:line="240" w:lineRule="auto"/>
              <w:jc w:val="center"/>
              <w:rPr>
                <w:rFonts w:eastAsia="Times New Roman" w:cs="Times New Roman"/>
                <w:color w:val="000000"/>
                <w:sz w:val="20"/>
                <w:szCs w:val="20"/>
                <w:lang w:eastAsia="es-GT"/>
              </w:rPr>
            </w:pPr>
            <w:r w:rsidRPr="00B958FC">
              <w:rPr>
                <w:rFonts w:eastAsia="Times New Roman" w:cs="Times New Roman"/>
                <w:color w:val="000000"/>
                <w:sz w:val="20"/>
                <w:szCs w:val="20"/>
                <w:lang w:eastAsia="es-GT"/>
              </w:rPr>
              <w:t>26%</w:t>
            </w:r>
          </w:p>
        </w:tc>
      </w:tr>
      <w:tr w:rsidR="009B26EE" w:rsidRPr="00102B7D" w14:paraId="56BD0A08" w14:textId="77777777" w:rsidTr="009C1875">
        <w:trPr>
          <w:trHeight w:val="372"/>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1BEEBB79" w14:textId="77777777" w:rsidR="009B26EE" w:rsidRPr="00B958FC" w:rsidRDefault="009B26EE" w:rsidP="00AD52FD">
            <w:pPr>
              <w:spacing w:after="0" w:line="240" w:lineRule="auto"/>
              <w:rPr>
                <w:rFonts w:eastAsia="Times New Roman" w:cs="Times New Roman"/>
                <w:color w:val="000000"/>
                <w:sz w:val="20"/>
                <w:szCs w:val="20"/>
                <w:lang w:eastAsia="es-GT"/>
              </w:rPr>
            </w:pPr>
            <w:r w:rsidRPr="00B958FC">
              <w:rPr>
                <w:rFonts w:eastAsia="Times New Roman" w:cs="Times New Roman"/>
                <w:color w:val="000000"/>
                <w:sz w:val="20"/>
                <w:szCs w:val="20"/>
                <w:lang w:eastAsia="es-GT"/>
              </w:rPr>
              <w:t>9. Equidad Laboral</w:t>
            </w:r>
          </w:p>
        </w:tc>
        <w:tc>
          <w:tcPr>
            <w:tcW w:w="0" w:type="auto"/>
            <w:tcBorders>
              <w:top w:val="nil"/>
              <w:left w:val="nil"/>
              <w:bottom w:val="single" w:sz="4" w:space="0" w:color="auto"/>
              <w:right w:val="single" w:sz="4" w:space="0" w:color="auto"/>
            </w:tcBorders>
            <w:shd w:val="clear" w:color="000000" w:fill="BDD7EE"/>
            <w:noWrap/>
            <w:vAlign w:val="center"/>
            <w:hideMark/>
          </w:tcPr>
          <w:p w14:paraId="309AD60B"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268,666,634 </w:t>
            </w:r>
          </w:p>
        </w:tc>
        <w:tc>
          <w:tcPr>
            <w:tcW w:w="0" w:type="auto"/>
            <w:tcBorders>
              <w:top w:val="nil"/>
              <w:left w:val="nil"/>
              <w:bottom w:val="single" w:sz="4" w:space="0" w:color="auto"/>
              <w:right w:val="single" w:sz="4" w:space="0" w:color="auto"/>
            </w:tcBorders>
            <w:shd w:val="clear" w:color="000000" w:fill="BDD7EE"/>
            <w:noWrap/>
            <w:vAlign w:val="center"/>
            <w:hideMark/>
          </w:tcPr>
          <w:p w14:paraId="3F12299B"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246,020,819 </w:t>
            </w:r>
          </w:p>
        </w:tc>
        <w:tc>
          <w:tcPr>
            <w:tcW w:w="0" w:type="auto"/>
            <w:tcBorders>
              <w:top w:val="nil"/>
              <w:left w:val="nil"/>
              <w:bottom w:val="single" w:sz="4" w:space="0" w:color="auto"/>
              <w:right w:val="single" w:sz="4" w:space="0" w:color="auto"/>
            </w:tcBorders>
            <w:shd w:val="clear" w:color="000000" w:fill="BDD7EE"/>
            <w:noWrap/>
            <w:vAlign w:val="center"/>
            <w:hideMark/>
          </w:tcPr>
          <w:p w14:paraId="36D2EF55"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90,948,266 </w:t>
            </w:r>
          </w:p>
        </w:tc>
        <w:tc>
          <w:tcPr>
            <w:tcW w:w="0" w:type="auto"/>
            <w:tcBorders>
              <w:top w:val="nil"/>
              <w:left w:val="nil"/>
              <w:bottom w:val="single" w:sz="4" w:space="0" w:color="auto"/>
              <w:right w:val="single" w:sz="4" w:space="0" w:color="auto"/>
            </w:tcBorders>
            <w:shd w:val="clear" w:color="000000" w:fill="BDD7EE"/>
            <w:noWrap/>
            <w:vAlign w:val="center"/>
            <w:hideMark/>
          </w:tcPr>
          <w:p w14:paraId="5534696B" w14:textId="77777777" w:rsidR="009B26EE" w:rsidRPr="00B958FC" w:rsidRDefault="009B26EE" w:rsidP="00AD52FD">
            <w:pPr>
              <w:spacing w:after="0" w:line="240" w:lineRule="auto"/>
              <w:jc w:val="center"/>
              <w:rPr>
                <w:rFonts w:eastAsia="Times New Roman" w:cs="Times New Roman"/>
                <w:color w:val="000000"/>
                <w:sz w:val="20"/>
                <w:szCs w:val="20"/>
                <w:lang w:eastAsia="es-GT"/>
              </w:rPr>
            </w:pPr>
            <w:r w:rsidRPr="00B958FC">
              <w:rPr>
                <w:rFonts w:eastAsia="Times New Roman" w:cs="Times New Roman"/>
                <w:color w:val="000000"/>
                <w:sz w:val="20"/>
                <w:szCs w:val="20"/>
                <w:lang w:eastAsia="es-GT"/>
              </w:rPr>
              <w:t>37%</w:t>
            </w:r>
          </w:p>
        </w:tc>
      </w:tr>
      <w:tr w:rsidR="009B26EE" w:rsidRPr="00102B7D" w14:paraId="2BA3AD8D" w14:textId="77777777" w:rsidTr="009B26EE">
        <w:trPr>
          <w:trHeight w:val="578"/>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2D36BEC8" w14:textId="77777777" w:rsidR="009B26EE" w:rsidRPr="00B958FC" w:rsidRDefault="009B26EE" w:rsidP="00AD52FD">
            <w:pPr>
              <w:spacing w:after="0" w:line="240" w:lineRule="auto"/>
              <w:rPr>
                <w:rFonts w:eastAsia="Times New Roman" w:cs="Times New Roman"/>
                <w:color w:val="000000"/>
                <w:sz w:val="20"/>
                <w:szCs w:val="20"/>
                <w:lang w:eastAsia="es-GT"/>
              </w:rPr>
            </w:pPr>
            <w:r w:rsidRPr="00B958FC">
              <w:rPr>
                <w:rFonts w:eastAsia="Times New Roman" w:cs="Times New Roman"/>
                <w:color w:val="000000"/>
                <w:sz w:val="20"/>
                <w:szCs w:val="20"/>
                <w:lang w:eastAsia="es-GT"/>
              </w:rPr>
              <w:t>10. Mecanismos Institucionales</w:t>
            </w:r>
          </w:p>
        </w:tc>
        <w:tc>
          <w:tcPr>
            <w:tcW w:w="0" w:type="auto"/>
            <w:tcBorders>
              <w:top w:val="nil"/>
              <w:left w:val="nil"/>
              <w:bottom w:val="single" w:sz="4" w:space="0" w:color="auto"/>
              <w:right w:val="single" w:sz="4" w:space="0" w:color="auto"/>
            </w:tcBorders>
            <w:shd w:val="clear" w:color="000000" w:fill="BDD7EE"/>
            <w:noWrap/>
            <w:vAlign w:val="center"/>
            <w:hideMark/>
          </w:tcPr>
          <w:p w14:paraId="2841CB62"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44,060,053 </w:t>
            </w:r>
          </w:p>
        </w:tc>
        <w:tc>
          <w:tcPr>
            <w:tcW w:w="0" w:type="auto"/>
            <w:tcBorders>
              <w:top w:val="nil"/>
              <w:left w:val="nil"/>
              <w:bottom w:val="single" w:sz="4" w:space="0" w:color="auto"/>
              <w:right w:val="single" w:sz="4" w:space="0" w:color="auto"/>
            </w:tcBorders>
            <w:shd w:val="clear" w:color="000000" w:fill="BDD7EE"/>
            <w:noWrap/>
            <w:vAlign w:val="center"/>
            <w:hideMark/>
          </w:tcPr>
          <w:p w14:paraId="7F244870"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50,645,092 </w:t>
            </w:r>
          </w:p>
        </w:tc>
        <w:tc>
          <w:tcPr>
            <w:tcW w:w="0" w:type="auto"/>
            <w:tcBorders>
              <w:top w:val="nil"/>
              <w:left w:val="nil"/>
              <w:bottom w:val="single" w:sz="4" w:space="0" w:color="auto"/>
              <w:right w:val="single" w:sz="4" w:space="0" w:color="auto"/>
            </w:tcBorders>
            <w:shd w:val="clear" w:color="000000" w:fill="BDD7EE"/>
            <w:noWrap/>
            <w:vAlign w:val="center"/>
            <w:hideMark/>
          </w:tcPr>
          <w:p w14:paraId="2DFBE8B9" w14:textId="77777777"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21,122,314 </w:t>
            </w:r>
          </w:p>
        </w:tc>
        <w:tc>
          <w:tcPr>
            <w:tcW w:w="0" w:type="auto"/>
            <w:tcBorders>
              <w:top w:val="nil"/>
              <w:left w:val="nil"/>
              <w:bottom w:val="single" w:sz="4" w:space="0" w:color="auto"/>
              <w:right w:val="single" w:sz="4" w:space="0" w:color="auto"/>
            </w:tcBorders>
            <w:shd w:val="clear" w:color="000000" w:fill="BDD7EE"/>
            <w:noWrap/>
            <w:vAlign w:val="center"/>
            <w:hideMark/>
          </w:tcPr>
          <w:p w14:paraId="341BDABF" w14:textId="77777777" w:rsidR="009B26EE" w:rsidRPr="00B958FC" w:rsidRDefault="009B26EE" w:rsidP="00AD52FD">
            <w:pPr>
              <w:spacing w:after="0" w:line="240" w:lineRule="auto"/>
              <w:jc w:val="center"/>
              <w:rPr>
                <w:rFonts w:eastAsia="Times New Roman" w:cs="Times New Roman"/>
                <w:color w:val="000000"/>
                <w:sz w:val="20"/>
                <w:szCs w:val="20"/>
                <w:lang w:eastAsia="es-GT"/>
              </w:rPr>
            </w:pPr>
            <w:r w:rsidRPr="00B958FC">
              <w:rPr>
                <w:rFonts w:eastAsia="Times New Roman" w:cs="Times New Roman"/>
                <w:color w:val="000000"/>
                <w:sz w:val="20"/>
                <w:szCs w:val="20"/>
                <w:lang w:eastAsia="es-GT"/>
              </w:rPr>
              <w:t>42%</w:t>
            </w:r>
          </w:p>
        </w:tc>
      </w:tr>
      <w:tr w:rsidR="009B26EE" w:rsidRPr="00102B7D" w14:paraId="7E9325B2" w14:textId="77777777" w:rsidTr="009C1875">
        <w:trPr>
          <w:trHeight w:val="541"/>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4145BDBC" w14:textId="77777777" w:rsidR="009B26EE" w:rsidRPr="00B958FC" w:rsidRDefault="009B26EE" w:rsidP="00AD52FD">
            <w:pPr>
              <w:spacing w:after="0" w:line="240" w:lineRule="auto"/>
              <w:rPr>
                <w:rFonts w:eastAsia="Times New Roman" w:cs="Times New Roman"/>
                <w:color w:val="000000"/>
                <w:sz w:val="20"/>
                <w:szCs w:val="20"/>
                <w:lang w:eastAsia="es-GT"/>
              </w:rPr>
            </w:pPr>
            <w:r w:rsidRPr="00B958FC">
              <w:rPr>
                <w:rFonts w:eastAsia="Times New Roman" w:cs="Times New Roman"/>
                <w:color w:val="000000"/>
                <w:sz w:val="20"/>
                <w:szCs w:val="20"/>
                <w:lang w:eastAsia="es-GT"/>
              </w:rPr>
              <w:t>11. Participación Sociopolítica</w:t>
            </w:r>
          </w:p>
        </w:tc>
        <w:tc>
          <w:tcPr>
            <w:tcW w:w="0" w:type="auto"/>
            <w:tcBorders>
              <w:top w:val="nil"/>
              <w:left w:val="nil"/>
              <w:bottom w:val="single" w:sz="4" w:space="0" w:color="auto"/>
              <w:right w:val="single" w:sz="4" w:space="0" w:color="auto"/>
            </w:tcBorders>
            <w:shd w:val="clear" w:color="000000" w:fill="BDD7EE"/>
            <w:noWrap/>
            <w:vAlign w:val="center"/>
            <w:hideMark/>
          </w:tcPr>
          <w:p w14:paraId="2B8CA206" w14:textId="1ECC39FD"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B958FC">
              <w:rPr>
                <w:rFonts w:eastAsia="Times New Roman" w:cs="Times New Roman"/>
                <w:color w:val="000000"/>
                <w:sz w:val="20"/>
                <w:szCs w:val="20"/>
                <w:lang w:eastAsia="es-GT"/>
              </w:rPr>
              <w:t xml:space="preserve">   </w:t>
            </w:r>
          </w:p>
        </w:tc>
        <w:tc>
          <w:tcPr>
            <w:tcW w:w="0" w:type="auto"/>
            <w:tcBorders>
              <w:top w:val="nil"/>
              <w:left w:val="nil"/>
              <w:bottom w:val="single" w:sz="4" w:space="0" w:color="auto"/>
              <w:right w:val="single" w:sz="4" w:space="0" w:color="auto"/>
            </w:tcBorders>
            <w:shd w:val="clear" w:color="000000" w:fill="BDD7EE"/>
            <w:noWrap/>
            <w:vAlign w:val="center"/>
            <w:hideMark/>
          </w:tcPr>
          <w:p w14:paraId="4D309A05" w14:textId="5C8183A6"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B958FC">
              <w:rPr>
                <w:rFonts w:eastAsia="Times New Roman" w:cs="Times New Roman"/>
                <w:color w:val="000000"/>
                <w:sz w:val="20"/>
                <w:szCs w:val="20"/>
                <w:lang w:eastAsia="es-GT"/>
              </w:rPr>
              <w:t xml:space="preserve">   </w:t>
            </w:r>
          </w:p>
        </w:tc>
        <w:tc>
          <w:tcPr>
            <w:tcW w:w="0" w:type="auto"/>
            <w:tcBorders>
              <w:top w:val="nil"/>
              <w:left w:val="nil"/>
              <w:bottom w:val="single" w:sz="4" w:space="0" w:color="auto"/>
              <w:right w:val="single" w:sz="4" w:space="0" w:color="auto"/>
            </w:tcBorders>
            <w:shd w:val="clear" w:color="000000" w:fill="BDD7EE"/>
            <w:noWrap/>
            <w:vAlign w:val="center"/>
            <w:hideMark/>
          </w:tcPr>
          <w:p w14:paraId="5C91837D" w14:textId="11597A0D"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B958FC">
              <w:rPr>
                <w:rFonts w:eastAsia="Times New Roman" w:cs="Times New Roman"/>
                <w:color w:val="000000"/>
                <w:sz w:val="20"/>
                <w:szCs w:val="20"/>
                <w:lang w:eastAsia="es-GT"/>
              </w:rPr>
              <w:t xml:space="preserve">-   </w:t>
            </w:r>
          </w:p>
        </w:tc>
        <w:tc>
          <w:tcPr>
            <w:tcW w:w="0" w:type="auto"/>
            <w:tcBorders>
              <w:top w:val="nil"/>
              <w:left w:val="nil"/>
              <w:bottom w:val="single" w:sz="4" w:space="0" w:color="auto"/>
              <w:right w:val="single" w:sz="4" w:space="0" w:color="auto"/>
            </w:tcBorders>
            <w:shd w:val="clear" w:color="000000" w:fill="BDD7EE"/>
            <w:noWrap/>
            <w:vAlign w:val="center"/>
            <w:hideMark/>
          </w:tcPr>
          <w:p w14:paraId="556E2BCC" w14:textId="77777777" w:rsidR="009B26EE" w:rsidRPr="00B958FC" w:rsidRDefault="009B26EE" w:rsidP="00AD52FD">
            <w:pPr>
              <w:spacing w:after="0" w:line="240" w:lineRule="auto"/>
              <w:jc w:val="center"/>
              <w:rPr>
                <w:rFonts w:eastAsia="Times New Roman" w:cs="Times New Roman"/>
                <w:color w:val="000000"/>
                <w:sz w:val="20"/>
                <w:szCs w:val="20"/>
                <w:lang w:eastAsia="es-GT"/>
              </w:rPr>
            </w:pPr>
            <w:r w:rsidRPr="00B958FC">
              <w:rPr>
                <w:rFonts w:eastAsia="Times New Roman" w:cs="Times New Roman"/>
                <w:color w:val="000000"/>
                <w:sz w:val="20"/>
                <w:szCs w:val="20"/>
                <w:lang w:eastAsia="es-GT"/>
              </w:rPr>
              <w:t>0%</w:t>
            </w:r>
          </w:p>
        </w:tc>
      </w:tr>
      <w:tr w:rsidR="009B26EE" w:rsidRPr="00102B7D" w14:paraId="717712BA" w14:textId="77777777" w:rsidTr="009B26EE">
        <w:trPr>
          <w:trHeight w:val="578"/>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6E1A0FC7" w14:textId="77777777" w:rsidR="009B26EE" w:rsidRPr="00B958FC" w:rsidRDefault="009B26EE" w:rsidP="00AD52FD">
            <w:pPr>
              <w:spacing w:after="0" w:line="240" w:lineRule="auto"/>
              <w:rPr>
                <w:rFonts w:eastAsia="Times New Roman" w:cs="Times New Roman"/>
                <w:color w:val="000000"/>
                <w:sz w:val="20"/>
                <w:szCs w:val="20"/>
                <w:lang w:eastAsia="es-GT"/>
              </w:rPr>
            </w:pPr>
            <w:r w:rsidRPr="00B958FC">
              <w:rPr>
                <w:rFonts w:eastAsia="Times New Roman" w:cs="Times New Roman"/>
                <w:color w:val="000000"/>
                <w:sz w:val="20"/>
                <w:szCs w:val="20"/>
                <w:lang w:eastAsia="es-GT"/>
              </w:rPr>
              <w:t>12. Identidad Cultural</w:t>
            </w:r>
          </w:p>
        </w:tc>
        <w:tc>
          <w:tcPr>
            <w:tcW w:w="0" w:type="auto"/>
            <w:tcBorders>
              <w:top w:val="nil"/>
              <w:left w:val="nil"/>
              <w:bottom w:val="single" w:sz="4" w:space="0" w:color="auto"/>
              <w:right w:val="single" w:sz="4" w:space="0" w:color="auto"/>
            </w:tcBorders>
            <w:shd w:val="clear" w:color="000000" w:fill="BDD7EE"/>
            <w:noWrap/>
            <w:vAlign w:val="center"/>
            <w:hideMark/>
          </w:tcPr>
          <w:p w14:paraId="78DC37B5" w14:textId="74C14ECE"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B958FC">
              <w:rPr>
                <w:rFonts w:eastAsia="Times New Roman" w:cs="Times New Roman"/>
                <w:color w:val="000000"/>
                <w:sz w:val="20"/>
                <w:szCs w:val="20"/>
                <w:lang w:eastAsia="es-GT"/>
              </w:rPr>
              <w:t xml:space="preserve">   </w:t>
            </w:r>
          </w:p>
        </w:tc>
        <w:tc>
          <w:tcPr>
            <w:tcW w:w="0" w:type="auto"/>
            <w:tcBorders>
              <w:top w:val="nil"/>
              <w:left w:val="nil"/>
              <w:bottom w:val="single" w:sz="4" w:space="0" w:color="auto"/>
              <w:right w:val="single" w:sz="4" w:space="0" w:color="auto"/>
            </w:tcBorders>
            <w:shd w:val="clear" w:color="000000" w:fill="BDD7EE"/>
            <w:noWrap/>
            <w:vAlign w:val="center"/>
            <w:hideMark/>
          </w:tcPr>
          <w:p w14:paraId="335202AE" w14:textId="7280E1AF"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B958FC">
              <w:rPr>
                <w:rFonts w:eastAsia="Times New Roman" w:cs="Times New Roman"/>
                <w:color w:val="000000"/>
                <w:sz w:val="20"/>
                <w:szCs w:val="20"/>
                <w:lang w:eastAsia="es-GT"/>
              </w:rPr>
              <w:t xml:space="preserve">   </w:t>
            </w:r>
          </w:p>
        </w:tc>
        <w:tc>
          <w:tcPr>
            <w:tcW w:w="0" w:type="auto"/>
            <w:tcBorders>
              <w:top w:val="nil"/>
              <w:left w:val="nil"/>
              <w:bottom w:val="single" w:sz="4" w:space="0" w:color="auto"/>
              <w:right w:val="single" w:sz="4" w:space="0" w:color="auto"/>
            </w:tcBorders>
            <w:shd w:val="clear" w:color="000000" w:fill="BDD7EE"/>
            <w:noWrap/>
            <w:vAlign w:val="center"/>
            <w:hideMark/>
          </w:tcPr>
          <w:p w14:paraId="6C3DA4A6" w14:textId="08C50278" w:rsidR="009B26EE" w:rsidRPr="00B958FC" w:rsidRDefault="009B26EE" w:rsidP="00AD52FD">
            <w:pPr>
              <w:spacing w:after="0" w:line="240" w:lineRule="auto"/>
              <w:jc w:val="right"/>
              <w:rPr>
                <w:rFonts w:eastAsia="Times New Roman" w:cs="Times New Roman"/>
                <w:color w:val="000000"/>
                <w:sz w:val="20"/>
                <w:szCs w:val="20"/>
                <w:lang w:eastAsia="es-GT"/>
              </w:rPr>
            </w:pPr>
            <w:r w:rsidRPr="00B958FC">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B958FC">
              <w:rPr>
                <w:rFonts w:eastAsia="Times New Roman" w:cs="Times New Roman"/>
                <w:color w:val="000000"/>
                <w:sz w:val="20"/>
                <w:szCs w:val="20"/>
                <w:lang w:eastAsia="es-GT"/>
              </w:rPr>
              <w:t xml:space="preserve">   </w:t>
            </w:r>
          </w:p>
        </w:tc>
        <w:tc>
          <w:tcPr>
            <w:tcW w:w="0" w:type="auto"/>
            <w:tcBorders>
              <w:top w:val="nil"/>
              <w:left w:val="nil"/>
              <w:bottom w:val="single" w:sz="4" w:space="0" w:color="auto"/>
              <w:right w:val="single" w:sz="4" w:space="0" w:color="auto"/>
            </w:tcBorders>
            <w:shd w:val="clear" w:color="000000" w:fill="BDD7EE"/>
            <w:noWrap/>
            <w:vAlign w:val="center"/>
            <w:hideMark/>
          </w:tcPr>
          <w:p w14:paraId="13E27389" w14:textId="77777777" w:rsidR="009B26EE" w:rsidRPr="00B958FC" w:rsidRDefault="009B26EE" w:rsidP="00AD52FD">
            <w:pPr>
              <w:spacing w:after="0" w:line="240" w:lineRule="auto"/>
              <w:jc w:val="center"/>
              <w:rPr>
                <w:rFonts w:eastAsia="Times New Roman" w:cs="Times New Roman"/>
                <w:color w:val="000000"/>
                <w:sz w:val="20"/>
                <w:szCs w:val="20"/>
                <w:lang w:eastAsia="es-GT"/>
              </w:rPr>
            </w:pPr>
            <w:r w:rsidRPr="00B958FC">
              <w:rPr>
                <w:rFonts w:eastAsia="Times New Roman" w:cs="Times New Roman"/>
                <w:color w:val="000000"/>
                <w:sz w:val="20"/>
                <w:szCs w:val="20"/>
                <w:lang w:eastAsia="es-GT"/>
              </w:rPr>
              <w:t>0%</w:t>
            </w:r>
          </w:p>
        </w:tc>
      </w:tr>
    </w:tbl>
    <w:p w14:paraId="0024A33A" w14:textId="41BCAD02" w:rsidR="003C1A68" w:rsidRDefault="00387A2F" w:rsidP="0085164A">
      <w:pPr>
        <w:tabs>
          <w:tab w:val="left" w:pos="2190"/>
        </w:tabs>
        <w:spacing w:after="0" w:line="360" w:lineRule="auto"/>
      </w:pPr>
      <w:r w:rsidRPr="00387A2F">
        <w:rPr>
          <w:color w:val="231F20"/>
          <w:sz w:val="18"/>
          <w:szCs w:val="18"/>
        </w:rPr>
        <w:t xml:space="preserve">Fuente: Sistema de Contabilidad Integrada (SICOIN), </w:t>
      </w:r>
      <w:r w:rsidR="00C06E16">
        <w:rPr>
          <w:color w:val="231F20"/>
          <w:sz w:val="18"/>
          <w:szCs w:val="18"/>
        </w:rPr>
        <w:t>del 1 de enero al 30 de junio</w:t>
      </w:r>
      <w:r w:rsidR="00C06E16" w:rsidRPr="00387A2F">
        <w:rPr>
          <w:color w:val="231F20"/>
          <w:sz w:val="18"/>
          <w:szCs w:val="18"/>
        </w:rPr>
        <w:t xml:space="preserve"> del 2021</w:t>
      </w:r>
    </w:p>
    <w:p w14:paraId="72E59737" w14:textId="6DE98168" w:rsidR="006F10F1" w:rsidRDefault="006F10F1">
      <w:r>
        <w:br w:type="page"/>
      </w:r>
    </w:p>
    <w:p w14:paraId="109F74A6" w14:textId="3F9EF35E" w:rsidR="00241AAE" w:rsidRDefault="00963EE7" w:rsidP="00153122">
      <w:pPr>
        <w:pStyle w:val="Ttulo3"/>
        <w:spacing w:line="360" w:lineRule="auto"/>
      </w:pPr>
      <w:bookmarkStart w:id="12" w:name="_Toc97558447"/>
      <w:bookmarkStart w:id="13" w:name="_Toc98759535"/>
      <w:r w:rsidRPr="00241AAE">
        <w:lastRenderedPageBreak/>
        <w:t xml:space="preserve">VINCULACION DE LAS INSTITUCIONES DESCENTRALIZADAS </w:t>
      </w:r>
      <w:r w:rsidR="00581492">
        <w:t>AL CPEG</w:t>
      </w:r>
      <w:bookmarkEnd w:id="12"/>
      <w:bookmarkEnd w:id="13"/>
    </w:p>
    <w:p w14:paraId="095AF8F6" w14:textId="09FB3F77" w:rsidR="009A622F" w:rsidRDefault="00F34D10" w:rsidP="00F34D10">
      <w:pPr>
        <w:spacing w:after="0" w:line="360" w:lineRule="auto"/>
        <w:jc w:val="both"/>
      </w:pPr>
      <w:r>
        <w:t xml:space="preserve">En la tabla </w:t>
      </w:r>
      <w:r w:rsidR="000B7170">
        <w:t>5</w:t>
      </w:r>
      <w:r>
        <w:t xml:space="preserve"> se presenta el presupuesto vinculado para el</w:t>
      </w:r>
      <w:r w:rsidR="003C71B3">
        <w:t xml:space="preserve"> primer semestre del</w:t>
      </w:r>
      <w:r>
        <w:t xml:space="preserve"> ejercicio fiscal 2021 por las entidades descentralizadas y su porcentaje de ejecución </w:t>
      </w:r>
      <w:r w:rsidR="003C71B3">
        <w:t>en el período</w:t>
      </w:r>
      <w:r>
        <w:t xml:space="preserve"> de</w:t>
      </w:r>
      <w:r w:rsidR="003C71B3">
        <w:t>l</w:t>
      </w:r>
      <w:r>
        <w:t xml:space="preserve"> 1 de enero a 30 de junio de dicho año. </w:t>
      </w:r>
    </w:p>
    <w:p w14:paraId="17AEDD93" w14:textId="02ED583A" w:rsidR="009A622F" w:rsidRPr="00073CA5" w:rsidRDefault="009A622F" w:rsidP="00141E19">
      <w:pPr>
        <w:pStyle w:val="Tabla"/>
        <w:jc w:val="center"/>
        <w:rPr>
          <w:b/>
          <w:bCs/>
          <w:lang w:eastAsia="es-GT"/>
        </w:rPr>
      </w:pPr>
      <w:r w:rsidRPr="00073CA5">
        <w:rPr>
          <w:b/>
          <w:bCs/>
          <w:lang w:eastAsia="es-GT"/>
        </w:rPr>
        <w:t xml:space="preserve">Tabla </w:t>
      </w:r>
      <w:r w:rsidR="000B7170" w:rsidRPr="00073CA5">
        <w:rPr>
          <w:b/>
          <w:bCs/>
          <w:lang w:eastAsia="es-GT"/>
        </w:rPr>
        <w:t>5</w:t>
      </w:r>
    </w:p>
    <w:p w14:paraId="67F9EDA0" w14:textId="77777777" w:rsidR="00DD4B92" w:rsidRPr="00337B99" w:rsidRDefault="00DD4B92" w:rsidP="00DD4B92">
      <w:pPr>
        <w:spacing w:after="0" w:line="240" w:lineRule="auto"/>
        <w:jc w:val="center"/>
        <w:rPr>
          <w:rFonts w:ascii="Calibri" w:eastAsia="Times New Roman" w:hAnsi="Calibri" w:cs="Times New Roman"/>
          <w:b/>
          <w:bCs/>
          <w:color w:val="000000"/>
          <w:lang w:eastAsia="es-GT"/>
        </w:rPr>
      </w:pPr>
      <w:r w:rsidRPr="00337B99">
        <w:rPr>
          <w:rFonts w:ascii="Calibri" w:eastAsia="Times New Roman" w:hAnsi="Calibri" w:cs="Times New Roman"/>
          <w:b/>
          <w:bCs/>
          <w:color w:val="000000"/>
          <w:lang w:eastAsia="es-GT"/>
        </w:rPr>
        <w:t>Presupuesto Vinculado al CPEG en el Primer Semestre 2021</w:t>
      </w:r>
    </w:p>
    <w:p w14:paraId="32A8D2F4" w14:textId="4356D482" w:rsidR="00235CC9" w:rsidRDefault="00235CC9" w:rsidP="00DD4B92">
      <w:pPr>
        <w:spacing w:after="0" w:line="240" w:lineRule="auto"/>
        <w:jc w:val="center"/>
        <w:rPr>
          <w:rFonts w:ascii="Calibri" w:eastAsia="Times New Roman" w:hAnsi="Calibri" w:cs="Times New Roman"/>
          <w:b/>
          <w:bCs/>
          <w:color w:val="000000"/>
          <w:lang w:eastAsia="es-GT"/>
        </w:rPr>
      </w:pPr>
      <w:r w:rsidRPr="00235CC9">
        <w:rPr>
          <w:rFonts w:ascii="Calibri" w:eastAsia="Times New Roman" w:hAnsi="Calibri" w:cs="Times New Roman"/>
          <w:b/>
          <w:bCs/>
          <w:color w:val="000000"/>
          <w:sz w:val="24"/>
          <w:szCs w:val="24"/>
          <w:lang w:eastAsia="es-GT"/>
        </w:rPr>
        <w:t xml:space="preserve"> </w:t>
      </w:r>
      <w:r w:rsidR="009A622F" w:rsidRPr="00DD4B92">
        <w:rPr>
          <w:rFonts w:ascii="Calibri" w:eastAsia="Times New Roman" w:hAnsi="Calibri" w:cs="Times New Roman"/>
          <w:b/>
          <w:bCs/>
          <w:color w:val="000000"/>
          <w:lang w:eastAsia="es-GT"/>
        </w:rPr>
        <w:t>Instituciones Descentralizadas</w:t>
      </w:r>
    </w:p>
    <w:p w14:paraId="75235B76" w14:textId="6878AEB5" w:rsidR="00CD3708" w:rsidRDefault="00CD3708" w:rsidP="00DD4B92">
      <w:pPr>
        <w:spacing w:after="0" w:line="240" w:lineRule="auto"/>
        <w:jc w:val="center"/>
        <w:rPr>
          <w:rFonts w:ascii="Calibri" w:eastAsia="Times New Roman" w:hAnsi="Calibri" w:cs="Times New Roman"/>
          <w:b/>
          <w:bCs/>
          <w:color w:val="000000"/>
          <w:lang w:eastAsia="es-GT"/>
        </w:rPr>
      </w:pPr>
    </w:p>
    <w:tbl>
      <w:tblPr>
        <w:tblW w:w="0" w:type="auto"/>
        <w:tblCellMar>
          <w:left w:w="70" w:type="dxa"/>
          <w:right w:w="70" w:type="dxa"/>
        </w:tblCellMar>
        <w:tblLook w:val="04A0" w:firstRow="1" w:lastRow="0" w:firstColumn="1" w:lastColumn="0" w:noHBand="0" w:noVBand="1"/>
      </w:tblPr>
      <w:tblGrid>
        <w:gridCol w:w="344"/>
        <w:gridCol w:w="2631"/>
        <w:gridCol w:w="1276"/>
        <w:gridCol w:w="1278"/>
        <w:gridCol w:w="1275"/>
        <w:gridCol w:w="1257"/>
        <w:gridCol w:w="777"/>
      </w:tblGrid>
      <w:tr w:rsidR="00CD3708" w:rsidRPr="00740C75" w14:paraId="19333E4D" w14:textId="77777777" w:rsidTr="00740C75">
        <w:trPr>
          <w:trHeight w:val="359"/>
        </w:trPr>
        <w:tc>
          <w:tcPr>
            <w:tcW w:w="0" w:type="auto"/>
            <w:vMerge w:val="restart"/>
            <w:tcBorders>
              <w:top w:val="nil"/>
              <w:left w:val="nil"/>
              <w:bottom w:val="single" w:sz="4" w:space="0" w:color="auto"/>
              <w:right w:val="single" w:sz="4" w:space="0" w:color="auto"/>
            </w:tcBorders>
            <w:shd w:val="clear" w:color="000000" w:fill="1F4E78"/>
            <w:noWrap/>
            <w:vAlign w:val="center"/>
            <w:hideMark/>
          </w:tcPr>
          <w:p w14:paraId="5C060729" w14:textId="77777777" w:rsidR="00CD3708" w:rsidRPr="00740C75" w:rsidRDefault="00CD3708" w:rsidP="00AD52FD">
            <w:pPr>
              <w:spacing w:after="0" w:line="240" w:lineRule="auto"/>
              <w:jc w:val="center"/>
              <w:rPr>
                <w:rFonts w:ascii="Calibri" w:eastAsia="Times New Roman" w:hAnsi="Calibri" w:cs="Times New Roman"/>
                <w:b/>
                <w:bCs/>
                <w:color w:val="FFFFFF"/>
                <w:sz w:val="14"/>
                <w:lang w:eastAsia="es-GT"/>
              </w:rPr>
            </w:pPr>
            <w:r w:rsidRPr="00740C75">
              <w:rPr>
                <w:rFonts w:ascii="Calibri" w:eastAsia="Times New Roman" w:hAnsi="Calibri" w:cs="Times New Roman"/>
                <w:b/>
                <w:bCs/>
                <w:color w:val="FFFFFF"/>
                <w:sz w:val="14"/>
                <w:lang w:eastAsia="es-GT"/>
              </w:rPr>
              <w:t>No.</w:t>
            </w:r>
          </w:p>
        </w:tc>
        <w:tc>
          <w:tcPr>
            <w:tcW w:w="2631" w:type="dxa"/>
            <w:vMerge w:val="restart"/>
            <w:tcBorders>
              <w:top w:val="nil"/>
              <w:left w:val="single" w:sz="4" w:space="0" w:color="auto"/>
              <w:bottom w:val="single" w:sz="4" w:space="0" w:color="auto"/>
              <w:right w:val="single" w:sz="4" w:space="0" w:color="auto"/>
            </w:tcBorders>
            <w:shd w:val="clear" w:color="000000" w:fill="1F4E78"/>
            <w:noWrap/>
            <w:vAlign w:val="center"/>
            <w:hideMark/>
          </w:tcPr>
          <w:p w14:paraId="6E4D9C50" w14:textId="77777777" w:rsidR="00CD3708" w:rsidRPr="00740C75" w:rsidRDefault="00CD3708" w:rsidP="00AD52FD">
            <w:pPr>
              <w:spacing w:after="0" w:line="240" w:lineRule="auto"/>
              <w:jc w:val="center"/>
              <w:rPr>
                <w:rFonts w:ascii="Calibri" w:eastAsia="Times New Roman" w:hAnsi="Calibri" w:cs="Times New Roman"/>
                <w:b/>
                <w:bCs/>
                <w:color w:val="FFFFFF"/>
                <w:sz w:val="14"/>
                <w:lang w:eastAsia="es-GT"/>
              </w:rPr>
            </w:pPr>
            <w:r w:rsidRPr="00740C75">
              <w:rPr>
                <w:rFonts w:ascii="Calibri" w:eastAsia="Times New Roman" w:hAnsi="Calibri" w:cs="Times New Roman"/>
                <w:b/>
                <w:bCs/>
                <w:color w:val="FFFFFF"/>
                <w:sz w:val="14"/>
                <w:lang w:eastAsia="es-GT"/>
              </w:rPr>
              <w:t>Institución</w:t>
            </w:r>
          </w:p>
        </w:tc>
        <w:tc>
          <w:tcPr>
            <w:tcW w:w="1276" w:type="dxa"/>
            <w:vMerge w:val="restart"/>
            <w:tcBorders>
              <w:top w:val="nil"/>
              <w:left w:val="single" w:sz="4" w:space="0" w:color="auto"/>
              <w:bottom w:val="single" w:sz="4" w:space="0" w:color="auto"/>
              <w:right w:val="single" w:sz="4" w:space="0" w:color="auto"/>
            </w:tcBorders>
            <w:shd w:val="clear" w:color="000000" w:fill="1F4E78"/>
            <w:noWrap/>
            <w:vAlign w:val="center"/>
            <w:hideMark/>
          </w:tcPr>
          <w:p w14:paraId="3272A2E6" w14:textId="77777777" w:rsidR="00CD3708" w:rsidRPr="00740C75" w:rsidRDefault="00CD3708" w:rsidP="00AD52FD">
            <w:pPr>
              <w:spacing w:after="0" w:line="240" w:lineRule="auto"/>
              <w:jc w:val="center"/>
              <w:rPr>
                <w:rFonts w:ascii="Calibri" w:eastAsia="Times New Roman" w:hAnsi="Calibri" w:cs="Times New Roman"/>
                <w:b/>
                <w:bCs/>
                <w:color w:val="FFFFFF"/>
                <w:sz w:val="14"/>
                <w:lang w:eastAsia="es-GT"/>
              </w:rPr>
            </w:pPr>
            <w:r w:rsidRPr="00740C75">
              <w:rPr>
                <w:rFonts w:ascii="Calibri" w:eastAsia="Times New Roman" w:hAnsi="Calibri" w:cs="Times New Roman"/>
                <w:b/>
                <w:bCs/>
                <w:color w:val="FFFFFF"/>
                <w:sz w:val="14"/>
                <w:lang w:eastAsia="es-GT"/>
              </w:rPr>
              <w:t>Siglas</w:t>
            </w:r>
          </w:p>
        </w:tc>
        <w:tc>
          <w:tcPr>
            <w:tcW w:w="4587" w:type="dxa"/>
            <w:gridSpan w:val="4"/>
            <w:tcBorders>
              <w:top w:val="nil"/>
              <w:left w:val="nil"/>
              <w:bottom w:val="single" w:sz="4" w:space="0" w:color="auto"/>
              <w:right w:val="nil"/>
            </w:tcBorders>
            <w:shd w:val="clear" w:color="000000" w:fill="1F4E78"/>
            <w:noWrap/>
            <w:vAlign w:val="center"/>
            <w:hideMark/>
          </w:tcPr>
          <w:p w14:paraId="72E01284" w14:textId="77777777" w:rsidR="00CD3708" w:rsidRPr="00740C75" w:rsidRDefault="00CD3708" w:rsidP="00AD52FD">
            <w:pPr>
              <w:spacing w:after="0" w:line="240" w:lineRule="auto"/>
              <w:jc w:val="center"/>
              <w:rPr>
                <w:rFonts w:ascii="Calibri" w:eastAsia="Times New Roman" w:hAnsi="Calibri" w:cs="Times New Roman"/>
                <w:b/>
                <w:bCs/>
                <w:color w:val="FFFFFF"/>
                <w:sz w:val="14"/>
                <w:lang w:eastAsia="es-GT"/>
              </w:rPr>
            </w:pPr>
            <w:r w:rsidRPr="00740C75">
              <w:rPr>
                <w:rFonts w:ascii="Calibri" w:eastAsia="Times New Roman" w:hAnsi="Calibri" w:cs="Times New Roman"/>
                <w:b/>
                <w:bCs/>
                <w:color w:val="FFFFFF"/>
                <w:sz w:val="14"/>
                <w:lang w:eastAsia="es-GT"/>
              </w:rPr>
              <w:t>Presupuesto Vinculado</w:t>
            </w:r>
          </w:p>
        </w:tc>
      </w:tr>
      <w:tr w:rsidR="00CD3708" w:rsidRPr="00740C75" w14:paraId="646DD0A6" w14:textId="77777777" w:rsidTr="00740C75">
        <w:trPr>
          <w:trHeight w:val="421"/>
        </w:trPr>
        <w:tc>
          <w:tcPr>
            <w:tcW w:w="0" w:type="auto"/>
            <w:vMerge/>
            <w:tcBorders>
              <w:top w:val="nil"/>
              <w:left w:val="nil"/>
              <w:bottom w:val="single" w:sz="4" w:space="0" w:color="auto"/>
              <w:right w:val="single" w:sz="4" w:space="0" w:color="auto"/>
            </w:tcBorders>
            <w:vAlign w:val="center"/>
            <w:hideMark/>
          </w:tcPr>
          <w:p w14:paraId="5DE9DC9F" w14:textId="77777777" w:rsidR="00CD3708" w:rsidRPr="00740C75" w:rsidRDefault="00CD3708" w:rsidP="00AD52FD">
            <w:pPr>
              <w:spacing w:after="0" w:line="240" w:lineRule="auto"/>
              <w:rPr>
                <w:rFonts w:ascii="Calibri" w:eastAsia="Times New Roman" w:hAnsi="Calibri" w:cs="Times New Roman"/>
                <w:b/>
                <w:bCs/>
                <w:color w:val="FFFFFF"/>
                <w:sz w:val="14"/>
                <w:lang w:eastAsia="es-GT"/>
              </w:rPr>
            </w:pPr>
          </w:p>
        </w:tc>
        <w:tc>
          <w:tcPr>
            <w:tcW w:w="2631" w:type="dxa"/>
            <w:vMerge/>
            <w:tcBorders>
              <w:top w:val="nil"/>
              <w:left w:val="single" w:sz="4" w:space="0" w:color="auto"/>
              <w:bottom w:val="single" w:sz="4" w:space="0" w:color="auto"/>
              <w:right w:val="single" w:sz="4" w:space="0" w:color="auto"/>
            </w:tcBorders>
            <w:vAlign w:val="center"/>
            <w:hideMark/>
          </w:tcPr>
          <w:p w14:paraId="6FC1B8FE" w14:textId="77777777" w:rsidR="00CD3708" w:rsidRPr="00740C75" w:rsidRDefault="00CD3708" w:rsidP="00AD52FD">
            <w:pPr>
              <w:spacing w:after="0" w:line="240" w:lineRule="auto"/>
              <w:rPr>
                <w:rFonts w:ascii="Calibri" w:eastAsia="Times New Roman" w:hAnsi="Calibri" w:cs="Times New Roman"/>
                <w:b/>
                <w:bCs/>
                <w:color w:val="FFFFFF"/>
                <w:sz w:val="14"/>
                <w:lang w:eastAsia="es-GT"/>
              </w:rPr>
            </w:pPr>
          </w:p>
        </w:tc>
        <w:tc>
          <w:tcPr>
            <w:tcW w:w="1276" w:type="dxa"/>
            <w:vMerge/>
            <w:tcBorders>
              <w:top w:val="nil"/>
              <w:left w:val="single" w:sz="4" w:space="0" w:color="auto"/>
              <w:bottom w:val="single" w:sz="4" w:space="0" w:color="auto"/>
              <w:right w:val="single" w:sz="4" w:space="0" w:color="auto"/>
            </w:tcBorders>
            <w:vAlign w:val="center"/>
            <w:hideMark/>
          </w:tcPr>
          <w:p w14:paraId="75E2E46D" w14:textId="77777777" w:rsidR="00CD3708" w:rsidRPr="00740C75" w:rsidRDefault="00CD3708" w:rsidP="00AD52FD">
            <w:pPr>
              <w:spacing w:after="0" w:line="240" w:lineRule="auto"/>
              <w:rPr>
                <w:rFonts w:ascii="Calibri" w:eastAsia="Times New Roman" w:hAnsi="Calibri" w:cs="Times New Roman"/>
                <w:b/>
                <w:bCs/>
                <w:color w:val="FFFFFF"/>
                <w:sz w:val="14"/>
                <w:lang w:eastAsia="es-GT"/>
              </w:rPr>
            </w:pPr>
          </w:p>
        </w:tc>
        <w:tc>
          <w:tcPr>
            <w:tcW w:w="1278" w:type="dxa"/>
            <w:tcBorders>
              <w:top w:val="nil"/>
              <w:left w:val="single" w:sz="4" w:space="0" w:color="auto"/>
              <w:bottom w:val="nil"/>
              <w:right w:val="nil"/>
            </w:tcBorders>
            <w:shd w:val="clear" w:color="000000" w:fill="1F4E78"/>
            <w:noWrap/>
            <w:vAlign w:val="center"/>
            <w:hideMark/>
          </w:tcPr>
          <w:p w14:paraId="1C62290E" w14:textId="77777777" w:rsidR="00CD3708" w:rsidRPr="00740C75" w:rsidRDefault="00CD3708" w:rsidP="00AD52FD">
            <w:pPr>
              <w:spacing w:after="0" w:line="240" w:lineRule="auto"/>
              <w:jc w:val="center"/>
              <w:rPr>
                <w:rFonts w:ascii="Calibri" w:eastAsia="Times New Roman" w:hAnsi="Calibri" w:cs="Times New Roman"/>
                <w:b/>
                <w:bCs/>
                <w:color w:val="FFFFFF"/>
                <w:sz w:val="14"/>
                <w:lang w:eastAsia="es-GT"/>
              </w:rPr>
            </w:pPr>
            <w:r w:rsidRPr="00740C75">
              <w:rPr>
                <w:rFonts w:ascii="Calibri" w:eastAsia="Times New Roman" w:hAnsi="Calibri" w:cs="Times New Roman"/>
                <w:b/>
                <w:bCs/>
                <w:color w:val="FFFFFF"/>
                <w:sz w:val="14"/>
                <w:lang w:eastAsia="es-GT"/>
              </w:rPr>
              <w:t>Asignado</w:t>
            </w:r>
          </w:p>
        </w:tc>
        <w:tc>
          <w:tcPr>
            <w:tcW w:w="1275" w:type="dxa"/>
            <w:tcBorders>
              <w:top w:val="single" w:sz="4" w:space="0" w:color="auto"/>
              <w:left w:val="single" w:sz="4" w:space="0" w:color="auto"/>
              <w:bottom w:val="nil"/>
              <w:right w:val="single" w:sz="4" w:space="0" w:color="auto"/>
            </w:tcBorders>
            <w:shd w:val="clear" w:color="000000" w:fill="1F4E78"/>
            <w:noWrap/>
            <w:vAlign w:val="center"/>
            <w:hideMark/>
          </w:tcPr>
          <w:p w14:paraId="7CCDB082" w14:textId="77777777" w:rsidR="00CD3708" w:rsidRPr="00740C75" w:rsidRDefault="00CD3708" w:rsidP="00AD52FD">
            <w:pPr>
              <w:spacing w:after="0" w:line="240" w:lineRule="auto"/>
              <w:jc w:val="center"/>
              <w:rPr>
                <w:rFonts w:ascii="Calibri" w:eastAsia="Times New Roman" w:hAnsi="Calibri" w:cs="Times New Roman"/>
                <w:b/>
                <w:bCs/>
                <w:color w:val="FFFFFF"/>
                <w:sz w:val="14"/>
                <w:lang w:eastAsia="es-GT"/>
              </w:rPr>
            </w:pPr>
            <w:r w:rsidRPr="00740C75">
              <w:rPr>
                <w:rFonts w:ascii="Calibri" w:eastAsia="Times New Roman" w:hAnsi="Calibri" w:cs="Times New Roman"/>
                <w:b/>
                <w:bCs/>
                <w:color w:val="FFFFFF"/>
                <w:sz w:val="14"/>
                <w:lang w:eastAsia="es-GT"/>
              </w:rPr>
              <w:t>Vigente</w:t>
            </w:r>
          </w:p>
        </w:tc>
        <w:tc>
          <w:tcPr>
            <w:tcW w:w="1257" w:type="dxa"/>
            <w:tcBorders>
              <w:top w:val="nil"/>
              <w:left w:val="single" w:sz="4" w:space="0" w:color="auto"/>
              <w:bottom w:val="nil"/>
              <w:right w:val="nil"/>
            </w:tcBorders>
            <w:shd w:val="clear" w:color="000000" w:fill="1F4E78"/>
            <w:noWrap/>
            <w:vAlign w:val="center"/>
            <w:hideMark/>
          </w:tcPr>
          <w:p w14:paraId="79F974CB" w14:textId="77777777" w:rsidR="00CD3708" w:rsidRPr="00740C75" w:rsidRDefault="00CD3708" w:rsidP="00AD52FD">
            <w:pPr>
              <w:spacing w:after="0" w:line="240" w:lineRule="auto"/>
              <w:jc w:val="center"/>
              <w:rPr>
                <w:rFonts w:ascii="Calibri" w:eastAsia="Times New Roman" w:hAnsi="Calibri" w:cs="Times New Roman"/>
                <w:b/>
                <w:bCs/>
                <w:color w:val="FFFFFF"/>
                <w:sz w:val="14"/>
                <w:lang w:eastAsia="es-GT"/>
              </w:rPr>
            </w:pPr>
            <w:r w:rsidRPr="00740C75">
              <w:rPr>
                <w:rFonts w:ascii="Calibri" w:eastAsia="Times New Roman" w:hAnsi="Calibri" w:cs="Times New Roman"/>
                <w:b/>
                <w:bCs/>
                <w:color w:val="FFFFFF"/>
                <w:sz w:val="14"/>
                <w:lang w:eastAsia="es-GT"/>
              </w:rPr>
              <w:t>Devengado</w:t>
            </w:r>
          </w:p>
        </w:tc>
        <w:tc>
          <w:tcPr>
            <w:tcW w:w="0" w:type="auto"/>
            <w:tcBorders>
              <w:top w:val="nil"/>
              <w:left w:val="single" w:sz="4" w:space="0" w:color="auto"/>
              <w:bottom w:val="nil"/>
              <w:right w:val="nil"/>
            </w:tcBorders>
            <w:shd w:val="clear" w:color="000000" w:fill="1F4E78"/>
            <w:vAlign w:val="center"/>
            <w:hideMark/>
          </w:tcPr>
          <w:p w14:paraId="72027C77" w14:textId="77777777" w:rsidR="00CD3708" w:rsidRPr="00740C75" w:rsidRDefault="00CD3708" w:rsidP="00AD52FD">
            <w:pPr>
              <w:spacing w:after="0" w:line="240" w:lineRule="auto"/>
              <w:jc w:val="center"/>
              <w:rPr>
                <w:rFonts w:ascii="Calibri" w:eastAsia="Times New Roman" w:hAnsi="Calibri" w:cs="Times New Roman"/>
                <w:b/>
                <w:bCs/>
                <w:color w:val="FFFFFF"/>
                <w:sz w:val="14"/>
                <w:lang w:eastAsia="es-GT"/>
              </w:rPr>
            </w:pPr>
            <w:r w:rsidRPr="00740C75">
              <w:rPr>
                <w:rFonts w:ascii="Calibri" w:eastAsia="Times New Roman" w:hAnsi="Calibri" w:cs="Times New Roman"/>
                <w:b/>
                <w:bCs/>
                <w:color w:val="FFFFFF"/>
                <w:sz w:val="14"/>
                <w:lang w:eastAsia="es-GT"/>
              </w:rPr>
              <w:t>% Ejecución</w:t>
            </w:r>
          </w:p>
        </w:tc>
      </w:tr>
      <w:tr w:rsidR="00CD3708" w:rsidRPr="00740C75" w14:paraId="17B8CD72" w14:textId="77777777" w:rsidTr="00740C75">
        <w:trPr>
          <w:trHeight w:val="4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EA4E0A"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1</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14:paraId="2EC0B864" w14:textId="77777777" w:rsidR="00CD3708" w:rsidRPr="00740C75" w:rsidRDefault="00CD3708" w:rsidP="00AD52FD">
            <w:pPr>
              <w:spacing w:after="0" w:line="240" w:lineRule="auto"/>
              <w:rPr>
                <w:rFonts w:eastAsia="Times New Roman" w:cs="Times New Roman"/>
                <w:color w:val="000000"/>
                <w:sz w:val="14"/>
                <w:szCs w:val="20"/>
                <w:lang w:eastAsia="es-GT"/>
              </w:rPr>
            </w:pPr>
            <w:r w:rsidRPr="00740C75">
              <w:rPr>
                <w:rFonts w:eastAsia="Times New Roman" w:cs="Times New Roman"/>
                <w:color w:val="000000"/>
                <w:sz w:val="14"/>
                <w:szCs w:val="20"/>
                <w:lang w:eastAsia="es-GT"/>
              </w:rPr>
              <w:t>Fondo De Tierras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6E973E"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FONTIERRAS</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57ACE0DE"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172,842,135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E3B7918"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177,751,335 </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6AA15C64"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61,655,895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625DE4"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35%</w:t>
            </w:r>
          </w:p>
        </w:tc>
      </w:tr>
      <w:tr w:rsidR="00CD3708" w:rsidRPr="00740C75" w14:paraId="3328B393" w14:textId="77777777" w:rsidTr="00740C75">
        <w:trPr>
          <w:trHeight w:val="4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E4B2F"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2</w:t>
            </w:r>
          </w:p>
        </w:tc>
        <w:tc>
          <w:tcPr>
            <w:tcW w:w="2631" w:type="dxa"/>
            <w:tcBorders>
              <w:top w:val="nil"/>
              <w:left w:val="nil"/>
              <w:bottom w:val="single" w:sz="4" w:space="0" w:color="auto"/>
              <w:right w:val="single" w:sz="4" w:space="0" w:color="auto"/>
            </w:tcBorders>
            <w:shd w:val="clear" w:color="auto" w:fill="auto"/>
            <w:vAlign w:val="center"/>
            <w:hideMark/>
          </w:tcPr>
          <w:p w14:paraId="64870976" w14:textId="77777777" w:rsidR="00CD3708" w:rsidRPr="00740C75" w:rsidRDefault="00CD3708" w:rsidP="00AD52FD">
            <w:pPr>
              <w:spacing w:after="0" w:line="240" w:lineRule="auto"/>
              <w:rPr>
                <w:rFonts w:eastAsia="Times New Roman" w:cs="Times New Roman"/>
                <w:color w:val="000000"/>
                <w:sz w:val="14"/>
                <w:szCs w:val="20"/>
                <w:lang w:eastAsia="es-GT"/>
              </w:rPr>
            </w:pPr>
            <w:r w:rsidRPr="00740C75">
              <w:rPr>
                <w:rFonts w:eastAsia="Times New Roman" w:cs="Times New Roman"/>
                <w:color w:val="000000"/>
                <w:sz w:val="14"/>
                <w:szCs w:val="20"/>
                <w:lang w:eastAsia="es-GT"/>
              </w:rPr>
              <w:t>Coordinadora Nacional Para La Reducción De Desastres De Origen Natural O Provocado</w:t>
            </w:r>
          </w:p>
        </w:tc>
        <w:tc>
          <w:tcPr>
            <w:tcW w:w="1276" w:type="dxa"/>
            <w:tcBorders>
              <w:top w:val="nil"/>
              <w:left w:val="nil"/>
              <w:bottom w:val="single" w:sz="4" w:space="0" w:color="auto"/>
              <w:right w:val="single" w:sz="4" w:space="0" w:color="auto"/>
            </w:tcBorders>
            <w:shd w:val="clear" w:color="auto" w:fill="auto"/>
            <w:vAlign w:val="center"/>
            <w:hideMark/>
          </w:tcPr>
          <w:p w14:paraId="2B82E755"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 xml:space="preserve"> CONRED</w:t>
            </w:r>
          </w:p>
        </w:tc>
        <w:tc>
          <w:tcPr>
            <w:tcW w:w="1278" w:type="dxa"/>
            <w:tcBorders>
              <w:top w:val="nil"/>
              <w:left w:val="nil"/>
              <w:bottom w:val="single" w:sz="4" w:space="0" w:color="auto"/>
              <w:right w:val="single" w:sz="4" w:space="0" w:color="auto"/>
            </w:tcBorders>
            <w:shd w:val="clear" w:color="auto" w:fill="auto"/>
            <w:vAlign w:val="center"/>
            <w:hideMark/>
          </w:tcPr>
          <w:p w14:paraId="57F17E32"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3,180,955 </w:t>
            </w:r>
          </w:p>
        </w:tc>
        <w:tc>
          <w:tcPr>
            <w:tcW w:w="1275" w:type="dxa"/>
            <w:tcBorders>
              <w:top w:val="nil"/>
              <w:left w:val="nil"/>
              <w:bottom w:val="single" w:sz="4" w:space="0" w:color="auto"/>
              <w:right w:val="single" w:sz="4" w:space="0" w:color="auto"/>
            </w:tcBorders>
            <w:shd w:val="clear" w:color="auto" w:fill="auto"/>
            <w:vAlign w:val="center"/>
            <w:hideMark/>
          </w:tcPr>
          <w:p w14:paraId="66832798"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3,180,955 </w:t>
            </w:r>
          </w:p>
        </w:tc>
        <w:tc>
          <w:tcPr>
            <w:tcW w:w="1257" w:type="dxa"/>
            <w:tcBorders>
              <w:top w:val="nil"/>
              <w:left w:val="nil"/>
              <w:bottom w:val="single" w:sz="4" w:space="0" w:color="auto"/>
              <w:right w:val="single" w:sz="4" w:space="0" w:color="auto"/>
            </w:tcBorders>
            <w:shd w:val="clear" w:color="auto" w:fill="auto"/>
            <w:vAlign w:val="center"/>
            <w:hideMark/>
          </w:tcPr>
          <w:p w14:paraId="5092CD7B"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1,451,592 </w:t>
            </w:r>
          </w:p>
        </w:tc>
        <w:tc>
          <w:tcPr>
            <w:tcW w:w="0" w:type="auto"/>
            <w:tcBorders>
              <w:top w:val="nil"/>
              <w:left w:val="nil"/>
              <w:bottom w:val="single" w:sz="4" w:space="0" w:color="auto"/>
              <w:right w:val="single" w:sz="4" w:space="0" w:color="auto"/>
            </w:tcBorders>
            <w:shd w:val="clear" w:color="auto" w:fill="auto"/>
            <w:vAlign w:val="center"/>
            <w:hideMark/>
          </w:tcPr>
          <w:p w14:paraId="2AE1CAAA"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46%</w:t>
            </w:r>
          </w:p>
        </w:tc>
      </w:tr>
      <w:tr w:rsidR="00CD3708" w:rsidRPr="00740C75" w14:paraId="0B42D51C" w14:textId="77777777" w:rsidTr="00740C75">
        <w:trPr>
          <w:trHeight w:val="4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7DE3BF"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3</w:t>
            </w:r>
          </w:p>
        </w:tc>
        <w:tc>
          <w:tcPr>
            <w:tcW w:w="2631" w:type="dxa"/>
            <w:tcBorders>
              <w:top w:val="nil"/>
              <w:left w:val="nil"/>
              <w:bottom w:val="single" w:sz="4" w:space="0" w:color="auto"/>
              <w:right w:val="single" w:sz="4" w:space="0" w:color="auto"/>
            </w:tcBorders>
            <w:shd w:val="clear" w:color="auto" w:fill="auto"/>
            <w:vAlign w:val="center"/>
            <w:hideMark/>
          </w:tcPr>
          <w:p w14:paraId="6796EBF4" w14:textId="77777777" w:rsidR="00CD3708" w:rsidRPr="00740C75" w:rsidRDefault="00CD3708" w:rsidP="00AD52FD">
            <w:pPr>
              <w:spacing w:after="0" w:line="240" w:lineRule="auto"/>
              <w:rPr>
                <w:rFonts w:eastAsia="Times New Roman" w:cs="Times New Roman"/>
                <w:color w:val="000000"/>
                <w:sz w:val="14"/>
                <w:szCs w:val="20"/>
                <w:lang w:eastAsia="es-GT"/>
              </w:rPr>
            </w:pPr>
            <w:r w:rsidRPr="00740C75">
              <w:rPr>
                <w:rFonts w:eastAsia="Times New Roman" w:cs="Times New Roman"/>
                <w:color w:val="000000"/>
                <w:sz w:val="14"/>
                <w:szCs w:val="20"/>
                <w:lang w:eastAsia="es-GT"/>
              </w:rPr>
              <w:t xml:space="preserve">Instituto Nacional De Bosques </w:t>
            </w:r>
          </w:p>
        </w:tc>
        <w:tc>
          <w:tcPr>
            <w:tcW w:w="1276" w:type="dxa"/>
            <w:tcBorders>
              <w:top w:val="nil"/>
              <w:left w:val="nil"/>
              <w:bottom w:val="single" w:sz="4" w:space="0" w:color="auto"/>
              <w:right w:val="single" w:sz="4" w:space="0" w:color="auto"/>
            </w:tcBorders>
            <w:shd w:val="clear" w:color="auto" w:fill="auto"/>
            <w:vAlign w:val="center"/>
            <w:hideMark/>
          </w:tcPr>
          <w:p w14:paraId="23E6DA1E"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INAB</w:t>
            </w:r>
          </w:p>
        </w:tc>
        <w:tc>
          <w:tcPr>
            <w:tcW w:w="1278" w:type="dxa"/>
            <w:tcBorders>
              <w:top w:val="nil"/>
              <w:left w:val="nil"/>
              <w:bottom w:val="single" w:sz="4" w:space="0" w:color="auto"/>
              <w:right w:val="single" w:sz="4" w:space="0" w:color="auto"/>
            </w:tcBorders>
            <w:shd w:val="clear" w:color="auto" w:fill="auto"/>
            <w:vAlign w:val="center"/>
            <w:hideMark/>
          </w:tcPr>
          <w:p w14:paraId="6A4A68A5"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38,243,031 </w:t>
            </w:r>
          </w:p>
        </w:tc>
        <w:tc>
          <w:tcPr>
            <w:tcW w:w="1275" w:type="dxa"/>
            <w:tcBorders>
              <w:top w:val="nil"/>
              <w:left w:val="nil"/>
              <w:bottom w:val="single" w:sz="4" w:space="0" w:color="auto"/>
              <w:right w:val="single" w:sz="4" w:space="0" w:color="auto"/>
            </w:tcBorders>
            <w:shd w:val="clear" w:color="auto" w:fill="auto"/>
            <w:vAlign w:val="center"/>
            <w:hideMark/>
          </w:tcPr>
          <w:p w14:paraId="439D612D"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36,159,758 </w:t>
            </w:r>
          </w:p>
        </w:tc>
        <w:tc>
          <w:tcPr>
            <w:tcW w:w="1257" w:type="dxa"/>
            <w:tcBorders>
              <w:top w:val="nil"/>
              <w:left w:val="nil"/>
              <w:bottom w:val="single" w:sz="4" w:space="0" w:color="auto"/>
              <w:right w:val="single" w:sz="4" w:space="0" w:color="auto"/>
            </w:tcBorders>
            <w:shd w:val="clear" w:color="auto" w:fill="auto"/>
            <w:vAlign w:val="center"/>
            <w:hideMark/>
          </w:tcPr>
          <w:p w14:paraId="07A5D005"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12,092,148 </w:t>
            </w:r>
          </w:p>
        </w:tc>
        <w:tc>
          <w:tcPr>
            <w:tcW w:w="0" w:type="auto"/>
            <w:tcBorders>
              <w:top w:val="nil"/>
              <w:left w:val="nil"/>
              <w:bottom w:val="single" w:sz="4" w:space="0" w:color="auto"/>
              <w:right w:val="single" w:sz="4" w:space="0" w:color="auto"/>
            </w:tcBorders>
            <w:shd w:val="clear" w:color="auto" w:fill="auto"/>
            <w:vAlign w:val="center"/>
            <w:hideMark/>
          </w:tcPr>
          <w:p w14:paraId="7F2A0D07"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33%</w:t>
            </w:r>
          </w:p>
        </w:tc>
      </w:tr>
      <w:tr w:rsidR="00CD3708" w:rsidRPr="00740C75" w14:paraId="2AF3B7FE" w14:textId="77777777" w:rsidTr="00740C75">
        <w:trPr>
          <w:trHeight w:val="4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F6478D"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4</w:t>
            </w:r>
          </w:p>
        </w:tc>
        <w:tc>
          <w:tcPr>
            <w:tcW w:w="2631" w:type="dxa"/>
            <w:tcBorders>
              <w:top w:val="nil"/>
              <w:left w:val="nil"/>
              <w:bottom w:val="single" w:sz="4" w:space="0" w:color="auto"/>
              <w:right w:val="single" w:sz="4" w:space="0" w:color="auto"/>
            </w:tcBorders>
            <w:shd w:val="clear" w:color="auto" w:fill="auto"/>
            <w:vAlign w:val="center"/>
            <w:hideMark/>
          </w:tcPr>
          <w:p w14:paraId="0C239E6E" w14:textId="77777777" w:rsidR="00CD3708" w:rsidRPr="00740C75" w:rsidRDefault="00CD3708" w:rsidP="00AD52FD">
            <w:pPr>
              <w:spacing w:after="0" w:line="240" w:lineRule="auto"/>
              <w:rPr>
                <w:rFonts w:eastAsia="Times New Roman" w:cs="Times New Roman"/>
                <w:color w:val="000000"/>
                <w:sz w:val="14"/>
                <w:szCs w:val="20"/>
                <w:lang w:eastAsia="es-GT"/>
              </w:rPr>
            </w:pPr>
            <w:r w:rsidRPr="00740C75">
              <w:rPr>
                <w:rFonts w:eastAsia="Times New Roman" w:cs="Times New Roman"/>
                <w:color w:val="000000"/>
                <w:sz w:val="14"/>
                <w:szCs w:val="20"/>
                <w:lang w:eastAsia="es-GT"/>
              </w:rPr>
              <w:t xml:space="preserve">Procuraduría De Los Derechos Humanos </w:t>
            </w:r>
          </w:p>
        </w:tc>
        <w:tc>
          <w:tcPr>
            <w:tcW w:w="1276" w:type="dxa"/>
            <w:tcBorders>
              <w:top w:val="nil"/>
              <w:left w:val="nil"/>
              <w:bottom w:val="single" w:sz="4" w:space="0" w:color="auto"/>
              <w:right w:val="single" w:sz="4" w:space="0" w:color="auto"/>
            </w:tcBorders>
            <w:shd w:val="clear" w:color="auto" w:fill="auto"/>
            <w:vAlign w:val="center"/>
            <w:hideMark/>
          </w:tcPr>
          <w:p w14:paraId="4D8189E6"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PDH</w:t>
            </w:r>
          </w:p>
        </w:tc>
        <w:tc>
          <w:tcPr>
            <w:tcW w:w="1278" w:type="dxa"/>
            <w:tcBorders>
              <w:top w:val="nil"/>
              <w:left w:val="nil"/>
              <w:bottom w:val="single" w:sz="4" w:space="0" w:color="auto"/>
              <w:right w:val="single" w:sz="4" w:space="0" w:color="auto"/>
            </w:tcBorders>
            <w:shd w:val="clear" w:color="auto" w:fill="auto"/>
            <w:vAlign w:val="center"/>
            <w:hideMark/>
          </w:tcPr>
          <w:p w14:paraId="7D940F46"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6,076,703 </w:t>
            </w:r>
          </w:p>
        </w:tc>
        <w:tc>
          <w:tcPr>
            <w:tcW w:w="1275" w:type="dxa"/>
            <w:tcBorders>
              <w:top w:val="nil"/>
              <w:left w:val="nil"/>
              <w:bottom w:val="single" w:sz="4" w:space="0" w:color="auto"/>
              <w:right w:val="single" w:sz="4" w:space="0" w:color="auto"/>
            </w:tcBorders>
            <w:shd w:val="clear" w:color="auto" w:fill="auto"/>
            <w:vAlign w:val="center"/>
            <w:hideMark/>
          </w:tcPr>
          <w:p w14:paraId="341ADEA6"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5,887,503 </w:t>
            </w:r>
          </w:p>
        </w:tc>
        <w:tc>
          <w:tcPr>
            <w:tcW w:w="1257" w:type="dxa"/>
            <w:tcBorders>
              <w:top w:val="nil"/>
              <w:left w:val="nil"/>
              <w:bottom w:val="single" w:sz="4" w:space="0" w:color="auto"/>
              <w:right w:val="single" w:sz="4" w:space="0" w:color="auto"/>
            </w:tcBorders>
            <w:shd w:val="clear" w:color="auto" w:fill="auto"/>
            <w:vAlign w:val="center"/>
            <w:hideMark/>
          </w:tcPr>
          <w:p w14:paraId="05DC67A4"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2,028,847 </w:t>
            </w:r>
          </w:p>
        </w:tc>
        <w:tc>
          <w:tcPr>
            <w:tcW w:w="0" w:type="auto"/>
            <w:tcBorders>
              <w:top w:val="nil"/>
              <w:left w:val="nil"/>
              <w:bottom w:val="single" w:sz="4" w:space="0" w:color="auto"/>
              <w:right w:val="single" w:sz="4" w:space="0" w:color="auto"/>
            </w:tcBorders>
            <w:shd w:val="clear" w:color="auto" w:fill="auto"/>
            <w:vAlign w:val="center"/>
            <w:hideMark/>
          </w:tcPr>
          <w:p w14:paraId="7380B02E"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34%</w:t>
            </w:r>
          </w:p>
        </w:tc>
      </w:tr>
      <w:tr w:rsidR="00CD3708" w:rsidRPr="00740C75" w14:paraId="17604A8D" w14:textId="77777777" w:rsidTr="00740C75">
        <w:trPr>
          <w:trHeight w:val="4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E658AC"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5</w:t>
            </w:r>
          </w:p>
        </w:tc>
        <w:tc>
          <w:tcPr>
            <w:tcW w:w="2631" w:type="dxa"/>
            <w:tcBorders>
              <w:top w:val="nil"/>
              <w:left w:val="nil"/>
              <w:bottom w:val="single" w:sz="4" w:space="0" w:color="auto"/>
              <w:right w:val="single" w:sz="4" w:space="0" w:color="auto"/>
            </w:tcBorders>
            <w:shd w:val="clear" w:color="auto" w:fill="auto"/>
            <w:vAlign w:val="center"/>
            <w:hideMark/>
          </w:tcPr>
          <w:p w14:paraId="39E4B0AD" w14:textId="77777777" w:rsidR="00CD3708" w:rsidRPr="00740C75" w:rsidRDefault="00CD3708" w:rsidP="00AD52FD">
            <w:pPr>
              <w:spacing w:after="0" w:line="240" w:lineRule="auto"/>
              <w:rPr>
                <w:rFonts w:eastAsia="Times New Roman" w:cs="Times New Roman"/>
                <w:color w:val="000000"/>
                <w:sz w:val="14"/>
                <w:szCs w:val="20"/>
                <w:lang w:eastAsia="es-GT"/>
              </w:rPr>
            </w:pPr>
            <w:r w:rsidRPr="00740C75">
              <w:rPr>
                <w:rFonts w:eastAsia="Times New Roman" w:cs="Times New Roman"/>
                <w:color w:val="000000"/>
                <w:sz w:val="14"/>
                <w:szCs w:val="20"/>
                <w:lang w:eastAsia="es-GT"/>
              </w:rPr>
              <w:t xml:space="preserve">Comité Nacional De Alfabetización </w:t>
            </w:r>
          </w:p>
        </w:tc>
        <w:tc>
          <w:tcPr>
            <w:tcW w:w="1276" w:type="dxa"/>
            <w:tcBorders>
              <w:top w:val="nil"/>
              <w:left w:val="nil"/>
              <w:bottom w:val="single" w:sz="4" w:space="0" w:color="auto"/>
              <w:right w:val="single" w:sz="4" w:space="0" w:color="auto"/>
            </w:tcBorders>
            <w:shd w:val="clear" w:color="auto" w:fill="auto"/>
            <w:vAlign w:val="center"/>
            <w:hideMark/>
          </w:tcPr>
          <w:p w14:paraId="155AAFCC"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CONALFA</w:t>
            </w:r>
          </w:p>
        </w:tc>
        <w:tc>
          <w:tcPr>
            <w:tcW w:w="1278" w:type="dxa"/>
            <w:tcBorders>
              <w:top w:val="nil"/>
              <w:left w:val="nil"/>
              <w:bottom w:val="single" w:sz="4" w:space="0" w:color="auto"/>
              <w:right w:val="single" w:sz="4" w:space="0" w:color="auto"/>
            </w:tcBorders>
            <w:shd w:val="clear" w:color="auto" w:fill="auto"/>
            <w:vAlign w:val="center"/>
            <w:hideMark/>
          </w:tcPr>
          <w:p w14:paraId="5316DB82"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139,951,358 </w:t>
            </w:r>
          </w:p>
        </w:tc>
        <w:tc>
          <w:tcPr>
            <w:tcW w:w="1275" w:type="dxa"/>
            <w:tcBorders>
              <w:top w:val="nil"/>
              <w:left w:val="nil"/>
              <w:bottom w:val="single" w:sz="4" w:space="0" w:color="auto"/>
              <w:right w:val="single" w:sz="4" w:space="0" w:color="auto"/>
            </w:tcBorders>
            <w:shd w:val="clear" w:color="auto" w:fill="auto"/>
            <w:vAlign w:val="center"/>
            <w:hideMark/>
          </w:tcPr>
          <w:p w14:paraId="2EEFDF1F"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243,071,927 </w:t>
            </w:r>
          </w:p>
        </w:tc>
        <w:tc>
          <w:tcPr>
            <w:tcW w:w="1257" w:type="dxa"/>
            <w:tcBorders>
              <w:top w:val="nil"/>
              <w:left w:val="nil"/>
              <w:bottom w:val="single" w:sz="4" w:space="0" w:color="auto"/>
              <w:right w:val="single" w:sz="4" w:space="0" w:color="auto"/>
            </w:tcBorders>
            <w:shd w:val="clear" w:color="auto" w:fill="auto"/>
            <w:vAlign w:val="center"/>
            <w:hideMark/>
          </w:tcPr>
          <w:p w14:paraId="434F7A62"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57,063,230 </w:t>
            </w:r>
          </w:p>
        </w:tc>
        <w:tc>
          <w:tcPr>
            <w:tcW w:w="0" w:type="auto"/>
            <w:tcBorders>
              <w:top w:val="nil"/>
              <w:left w:val="nil"/>
              <w:bottom w:val="single" w:sz="4" w:space="0" w:color="auto"/>
              <w:right w:val="single" w:sz="4" w:space="0" w:color="auto"/>
            </w:tcBorders>
            <w:shd w:val="clear" w:color="auto" w:fill="auto"/>
            <w:vAlign w:val="center"/>
            <w:hideMark/>
          </w:tcPr>
          <w:p w14:paraId="5B16DE70"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23%</w:t>
            </w:r>
          </w:p>
        </w:tc>
      </w:tr>
      <w:tr w:rsidR="00CD3708" w:rsidRPr="00740C75" w14:paraId="0723E618" w14:textId="77777777" w:rsidTr="00740C75">
        <w:trPr>
          <w:trHeight w:val="4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18D139"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6</w:t>
            </w:r>
          </w:p>
        </w:tc>
        <w:tc>
          <w:tcPr>
            <w:tcW w:w="2631" w:type="dxa"/>
            <w:tcBorders>
              <w:top w:val="nil"/>
              <w:left w:val="nil"/>
              <w:bottom w:val="single" w:sz="4" w:space="0" w:color="auto"/>
              <w:right w:val="single" w:sz="4" w:space="0" w:color="auto"/>
            </w:tcBorders>
            <w:shd w:val="clear" w:color="auto" w:fill="auto"/>
            <w:vAlign w:val="center"/>
            <w:hideMark/>
          </w:tcPr>
          <w:p w14:paraId="271F54EB" w14:textId="77777777" w:rsidR="00CD3708" w:rsidRPr="00740C75" w:rsidRDefault="00CD3708" w:rsidP="00AD52FD">
            <w:pPr>
              <w:spacing w:after="0" w:line="240" w:lineRule="auto"/>
              <w:rPr>
                <w:rFonts w:eastAsia="Times New Roman" w:cs="Times New Roman"/>
                <w:color w:val="000000"/>
                <w:sz w:val="14"/>
                <w:szCs w:val="20"/>
                <w:lang w:eastAsia="es-GT"/>
              </w:rPr>
            </w:pPr>
            <w:r w:rsidRPr="00740C75">
              <w:rPr>
                <w:rFonts w:eastAsia="Times New Roman" w:cs="Times New Roman"/>
                <w:color w:val="000000"/>
                <w:sz w:val="14"/>
                <w:szCs w:val="20"/>
                <w:lang w:eastAsia="es-GT"/>
              </w:rPr>
              <w:t xml:space="preserve">Instituto De Fomento Municipal </w:t>
            </w:r>
          </w:p>
        </w:tc>
        <w:tc>
          <w:tcPr>
            <w:tcW w:w="1276" w:type="dxa"/>
            <w:tcBorders>
              <w:top w:val="nil"/>
              <w:left w:val="nil"/>
              <w:bottom w:val="single" w:sz="4" w:space="0" w:color="auto"/>
              <w:right w:val="single" w:sz="4" w:space="0" w:color="auto"/>
            </w:tcBorders>
            <w:shd w:val="clear" w:color="auto" w:fill="auto"/>
            <w:vAlign w:val="center"/>
            <w:hideMark/>
          </w:tcPr>
          <w:p w14:paraId="780993B5"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 xml:space="preserve"> INFOM</w:t>
            </w:r>
          </w:p>
        </w:tc>
        <w:tc>
          <w:tcPr>
            <w:tcW w:w="1278" w:type="dxa"/>
            <w:tcBorders>
              <w:top w:val="nil"/>
              <w:left w:val="nil"/>
              <w:bottom w:val="single" w:sz="4" w:space="0" w:color="auto"/>
              <w:right w:val="single" w:sz="4" w:space="0" w:color="auto"/>
            </w:tcBorders>
            <w:shd w:val="clear" w:color="auto" w:fill="auto"/>
            <w:vAlign w:val="center"/>
            <w:hideMark/>
          </w:tcPr>
          <w:p w14:paraId="22748CE1"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11,212,763 </w:t>
            </w:r>
          </w:p>
        </w:tc>
        <w:tc>
          <w:tcPr>
            <w:tcW w:w="1275" w:type="dxa"/>
            <w:tcBorders>
              <w:top w:val="nil"/>
              <w:left w:val="nil"/>
              <w:bottom w:val="single" w:sz="4" w:space="0" w:color="auto"/>
              <w:right w:val="single" w:sz="4" w:space="0" w:color="auto"/>
            </w:tcBorders>
            <w:shd w:val="clear" w:color="auto" w:fill="auto"/>
            <w:vAlign w:val="center"/>
            <w:hideMark/>
          </w:tcPr>
          <w:p w14:paraId="6C4D4C9B"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101,466,567 </w:t>
            </w:r>
          </w:p>
        </w:tc>
        <w:tc>
          <w:tcPr>
            <w:tcW w:w="1257" w:type="dxa"/>
            <w:tcBorders>
              <w:top w:val="nil"/>
              <w:left w:val="nil"/>
              <w:bottom w:val="single" w:sz="4" w:space="0" w:color="auto"/>
              <w:right w:val="single" w:sz="4" w:space="0" w:color="auto"/>
            </w:tcBorders>
            <w:shd w:val="clear" w:color="auto" w:fill="auto"/>
            <w:vAlign w:val="center"/>
            <w:hideMark/>
          </w:tcPr>
          <w:p w14:paraId="6C80D157"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40,280,823 </w:t>
            </w:r>
          </w:p>
        </w:tc>
        <w:tc>
          <w:tcPr>
            <w:tcW w:w="0" w:type="auto"/>
            <w:tcBorders>
              <w:top w:val="nil"/>
              <w:left w:val="nil"/>
              <w:bottom w:val="single" w:sz="4" w:space="0" w:color="auto"/>
              <w:right w:val="single" w:sz="4" w:space="0" w:color="auto"/>
            </w:tcBorders>
            <w:shd w:val="clear" w:color="auto" w:fill="auto"/>
            <w:vAlign w:val="center"/>
            <w:hideMark/>
          </w:tcPr>
          <w:p w14:paraId="24EBDA56"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40%</w:t>
            </w:r>
          </w:p>
        </w:tc>
      </w:tr>
      <w:tr w:rsidR="00CD3708" w:rsidRPr="00740C75" w14:paraId="7B1F20E3" w14:textId="77777777" w:rsidTr="00740C75">
        <w:trPr>
          <w:trHeight w:val="4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3ED9D3"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7</w:t>
            </w:r>
          </w:p>
        </w:tc>
        <w:tc>
          <w:tcPr>
            <w:tcW w:w="2631" w:type="dxa"/>
            <w:tcBorders>
              <w:top w:val="nil"/>
              <w:left w:val="nil"/>
              <w:bottom w:val="single" w:sz="4" w:space="0" w:color="auto"/>
              <w:right w:val="single" w:sz="4" w:space="0" w:color="auto"/>
            </w:tcBorders>
            <w:shd w:val="clear" w:color="auto" w:fill="auto"/>
            <w:vAlign w:val="center"/>
            <w:hideMark/>
          </w:tcPr>
          <w:p w14:paraId="1137227C" w14:textId="77777777" w:rsidR="00CD3708" w:rsidRPr="00740C75" w:rsidRDefault="00CD3708" w:rsidP="00AD52FD">
            <w:pPr>
              <w:spacing w:after="0" w:line="240" w:lineRule="auto"/>
              <w:rPr>
                <w:rFonts w:eastAsia="Times New Roman" w:cs="Times New Roman"/>
                <w:color w:val="000000"/>
                <w:sz w:val="14"/>
                <w:szCs w:val="20"/>
                <w:lang w:eastAsia="es-GT"/>
              </w:rPr>
            </w:pPr>
            <w:r w:rsidRPr="00740C75">
              <w:rPr>
                <w:rFonts w:eastAsia="Times New Roman" w:cs="Times New Roman"/>
                <w:color w:val="000000"/>
                <w:sz w:val="14"/>
                <w:szCs w:val="20"/>
                <w:lang w:eastAsia="es-GT"/>
              </w:rPr>
              <w:t>Organismo Judicial</w:t>
            </w:r>
          </w:p>
        </w:tc>
        <w:tc>
          <w:tcPr>
            <w:tcW w:w="1276" w:type="dxa"/>
            <w:tcBorders>
              <w:top w:val="nil"/>
              <w:left w:val="nil"/>
              <w:bottom w:val="single" w:sz="4" w:space="0" w:color="auto"/>
              <w:right w:val="single" w:sz="4" w:space="0" w:color="auto"/>
            </w:tcBorders>
            <w:shd w:val="clear" w:color="auto" w:fill="auto"/>
            <w:vAlign w:val="center"/>
            <w:hideMark/>
          </w:tcPr>
          <w:p w14:paraId="0B32B6AF"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OJ</w:t>
            </w:r>
          </w:p>
        </w:tc>
        <w:tc>
          <w:tcPr>
            <w:tcW w:w="1278" w:type="dxa"/>
            <w:tcBorders>
              <w:top w:val="nil"/>
              <w:left w:val="nil"/>
              <w:bottom w:val="single" w:sz="4" w:space="0" w:color="auto"/>
              <w:right w:val="single" w:sz="4" w:space="0" w:color="auto"/>
            </w:tcBorders>
            <w:shd w:val="clear" w:color="auto" w:fill="auto"/>
            <w:vAlign w:val="center"/>
            <w:hideMark/>
          </w:tcPr>
          <w:p w14:paraId="3396FD90"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435,936,511 </w:t>
            </w:r>
          </w:p>
        </w:tc>
        <w:tc>
          <w:tcPr>
            <w:tcW w:w="1275" w:type="dxa"/>
            <w:tcBorders>
              <w:top w:val="nil"/>
              <w:left w:val="nil"/>
              <w:bottom w:val="single" w:sz="4" w:space="0" w:color="auto"/>
              <w:right w:val="single" w:sz="4" w:space="0" w:color="auto"/>
            </w:tcBorders>
            <w:shd w:val="clear" w:color="auto" w:fill="auto"/>
            <w:vAlign w:val="center"/>
            <w:hideMark/>
          </w:tcPr>
          <w:p w14:paraId="428A5AAC"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574,716,889 </w:t>
            </w:r>
          </w:p>
        </w:tc>
        <w:tc>
          <w:tcPr>
            <w:tcW w:w="1257" w:type="dxa"/>
            <w:tcBorders>
              <w:top w:val="nil"/>
              <w:left w:val="nil"/>
              <w:bottom w:val="single" w:sz="4" w:space="0" w:color="auto"/>
              <w:right w:val="single" w:sz="4" w:space="0" w:color="auto"/>
            </w:tcBorders>
            <w:shd w:val="clear" w:color="auto" w:fill="auto"/>
            <w:vAlign w:val="center"/>
            <w:hideMark/>
          </w:tcPr>
          <w:p w14:paraId="50C55EC3"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247,111,923 </w:t>
            </w:r>
          </w:p>
        </w:tc>
        <w:tc>
          <w:tcPr>
            <w:tcW w:w="0" w:type="auto"/>
            <w:tcBorders>
              <w:top w:val="nil"/>
              <w:left w:val="nil"/>
              <w:bottom w:val="single" w:sz="4" w:space="0" w:color="auto"/>
              <w:right w:val="single" w:sz="4" w:space="0" w:color="auto"/>
            </w:tcBorders>
            <w:shd w:val="clear" w:color="auto" w:fill="auto"/>
            <w:vAlign w:val="center"/>
            <w:hideMark/>
          </w:tcPr>
          <w:p w14:paraId="3ED1365B"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43%</w:t>
            </w:r>
          </w:p>
        </w:tc>
      </w:tr>
      <w:tr w:rsidR="00CD3708" w:rsidRPr="00740C75" w14:paraId="0E0ADD24" w14:textId="77777777" w:rsidTr="00740C75">
        <w:trPr>
          <w:trHeight w:val="4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3DB0E1"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8</w:t>
            </w:r>
          </w:p>
        </w:tc>
        <w:tc>
          <w:tcPr>
            <w:tcW w:w="2631" w:type="dxa"/>
            <w:tcBorders>
              <w:top w:val="nil"/>
              <w:left w:val="nil"/>
              <w:bottom w:val="single" w:sz="4" w:space="0" w:color="auto"/>
              <w:right w:val="single" w:sz="4" w:space="0" w:color="auto"/>
            </w:tcBorders>
            <w:shd w:val="clear" w:color="auto" w:fill="auto"/>
            <w:vAlign w:val="center"/>
            <w:hideMark/>
          </w:tcPr>
          <w:p w14:paraId="7DB790DC" w14:textId="77777777" w:rsidR="00CD3708" w:rsidRPr="00740C75" w:rsidRDefault="00CD3708" w:rsidP="00AD52FD">
            <w:pPr>
              <w:spacing w:after="0" w:line="240" w:lineRule="auto"/>
              <w:rPr>
                <w:rFonts w:eastAsia="Times New Roman" w:cs="Times New Roman"/>
                <w:color w:val="000000"/>
                <w:sz w:val="14"/>
                <w:szCs w:val="20"/>
                <w:lang w:eastAsia="es-GT"/>
              </w:rPr>
            </w:pPr>
            <w:r w:rsidRPr="00740C75">
              <w:rPr>
                <w:rFonts w:eastAsia="Times New Roman" w:cs="Times New Roman"/>
                <w:color w:val="000000"/>
                <w:sz w:val="14"/>
                <w:szCs w:val="20"/>
                <w:lang w:eastAsia="es-GT"/>
              </w:rPr>
              <w:t xml:space="preserve">Instituto Nacional De Ciencias Forenses De Guatemala </w:t>
            </w:r>
          </w:p>
        </w:tc>
        <w:tc>
          <w:tcPr>
            <w:tcW w:w="1276" w:type="dxa"/>
            <w:tcBorders>
              <w:top w:val="nil"/>
              <w:left w:val="nil"/>
              <w:bottom w:val="single" w:sz="4" w:space="0" w:color="auto"/>
              <w:right w:val="single" w:sz="4" w:space="0" w:color="auto"/>
            </w:tcBorders>
            <w:shd w:val="clear" w:color="auto" w:fill="auto"/>
            <w:vAlign w:val="center"/>
            <w:hideMark/>
          </w:tcPr>
          <w:p w14:paraId="063D4222"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INACIF</w:t>
            </w:r>
          </w:p>
        </w:tc>
        <w:tc>
          <w:tcPr>
            <w:tcW w:w="1278" w:type="dxa"/>
            <w:tcBorders>
              <w:top w:val="nil"/>
              <w:left w:val="nil"/>
              <w:bottom w:val="single" w:sz="4" w:space="0" w:color="auto"/>
              <w:right w:val="single" w:sz="4" w:space="0" w:color="auto"/>
            </w:tcBorders>
            <w:shd w:val="clear" w:color="auto" w:fill="auto"/>
            <w:vAlign w:val="center"/>
            <w:hideMark/>
          </w:tcPr>
          <w:p w14:paraId="771ECFB7"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196,099,437 </w:t>
            </w:r>
          </w:p>
        </w:tc>
        <w:tc>
          <w:tcPr>
            <w:tcW w:w="1275" w:type="dxa"/>
            <w:tcBorders>
              <w:top w:val="nil"/>
              <w:left w:val="nil"/>
              <w:bottom w:val="single" w:sz="4" w:space="0" w:color="auto"/>
              <w:right w:val="single" w:sz="4" w:space="0" w:color="auto"/>
            </w:tcBorders>
            <w:shd w:val="clear" w:color="auto" w:fill="auto"/>
            <w:vAlign w:val="center"/>
            <w:hideMark/>
          </w:tcPr>
          <w:p w14:paraId="7413969D"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206,228,455 </w:t>
            </w:r>
          </w:p>
        </w:tc>
        <w:tc>
          <w:tcPr>
            <w:tcW w:w="1257" w:type="dxa"/>
            <w:tcBorders>
              <w:top w:val="nil"/>
              <w:left w:val="nil"/>
              <w:bottom w:val="single" w:sz="4" w:space="0" w:color="auto"/>
              <w:right w:val="single" w:sz="4" w:space="0" w:color="auto"/>
            </w:tcBorders>
            <w:shd w:val="clear" w:color="auto" w:fill="auto"/>
            <w:vAlign w:val="center"/>
            <w:hideMark/>
          </w:tcPr>
          <w:p w14:paraId="2E85FE0C"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71,153,445 </w:t>
            </w:r>
          </w:p>
        </w:tc>
        <w:tc>
          <w:tcPr>
            <w:tcW w:w="0" w:type="auto"/>
            <w:tcBorders>
              <w:top w:val="nil"/>
              <w:left w:val="nil"/>
              <w:bottom w:val="single" w:sz="4" w:space="0" w:color="auto"/>
              <w:right w:val="single" w:sz="4" w:space="0" w:color="auto"/>
            </w:tcBorders>
            <w:shd w:val="clear" w:color="auto" w:fill="auto"/>
            <w:vAlign w:val="center"/>
            <w:hideMark/>
          </w:tcPr>
          <w:p w14:paraId="656FD352"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35%</w:t>
            </w:r>
          </w:p>
        </w:tc>
      </w:tr>
      <w:tr w:rsidR="00CD3708" w:rsidRPr="00740C75" w14:paraId="5066C3BE" w14:textId="77777777" w:rsidTr="00740C75">
        <w:trPr>
          <w:trHeight w:val="4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D25437"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9</w:t>
            </w:r>
          </w:p>
        </w:tc>
        <w:tc>
          <w:tcPr>
            <w:tcW w:w="2631" w:type="dxa"/>
            <w:tcBorders>
              <w:top w:val="nil"/>
              <w:left w:val="nil"/>
              <w:bottom w:val="single" w:sz="4" w:space="0" w:color="auto"/>
              <w:right w:val="single" w:sz="4" w:space="0" w:color="auto"/>
            </w:tcBorders>
            <w:shd w:val="clear" w:color="auto" w:fill="auto"/>
            <w:vAlign w:val="center"/>
            <w:hideMark/>
          </w:tcPr>
          <w:p w14:paraId="0CF5AD48" w14:textId="77777777" w:rsidR="00CD3708" w:rsidRPr="00740C75" w:rsidRDefault="00CD3708" w:rsidP="00AD52FD">
            <w:pPr>
              <w:spacing w:after="0" w:line="240" w:lineRule="auto"/>
              <w:rPr>
                <w:rFonts w:eastAsia="Times New Roman" w:cs="Times New Roman"/>
                <w:color w:val="000000"/>
                <w:sz w:val="14"/>
                <w:szCs w:val="20"/>
                <w:lang w:eastAsia="es-GT"/>
              </w:rPr>
            </w:pPr>
            <w:r w:rsidRPr="00740C75">
              <w:rPr>
                <w:rFonts w:eastAsia="Times New Roman" w:cs="Times New Roman"/>
                <w:color w:val="000000"/>
                <w:sz w:val="14"/>
                <w:szCs w:val="20"/>
                <w:lang w:eastAsia="es-GT"/>
              </w:rPr>
              <w:t xml:space="preserve">Consejo Nacional De Adopciones </w:t>
            </w:r>
          </w:p>
        </w:tc>
        <w:tc>
          <w:tcPr>
            <w:tcW w:w="1276" w:type="dxa"/>
            <w:tcBorders>
              <w:top w:val="nil"/>
              <w:left w:val="nil"/>
              <w:bottom w:val="single" w:sz="4" w:space="0" w:color="auto"/>
              <w:right w:val="single" w:sz="4" w:space="0" w:color="auto"/>
            </w:tcBorders>
            <w:shd w:val="clear" w:color="auto" w:fill="auto"/>
            <w:vAlign w:val="center"/>
            <w:hideMark/>
          </w:tcPr>
          <w:p w14:paraId="48055AD4"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CNA</w:t>
            </w:r>
          </w:p>
        </w:tc>
        <w:tc>
          <w:tcPr>
            <w:tcW w:w="1278" w:type="dxa"/>
            <w:tcBorders>
              <w:top w:val="nil"/>
              <w:left w:val="nil"/>
              <w:bottom w:val="single" w:sz="4" w:space="0" w:color="auto"/>
              <w:right w:val="single" w:sz="4" w:space="0" w:color="auto"/>
            </w:tcBorders>
            <w:shd w:val="clear" w:color="auto" w:fill="auto"/>
            <w:vAlign w:val="center"/>
            <w:hideMark/>
          </w:tcPr>
          <w:p w14:paraId="107A4F49"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1,948,467 </w:t>
            </w:r>
          </w:p>
        </w:tc>
        <w:tc>
          <w:tcPr>
            <w:tcW w:w="1275" w:type="dxa"/>
            <w:tcBorders>
              <w:top w:val="nil"/>
              <w:left w:val="nil"/>
              <w:bottom w:val="single" w:sz="4" w:space="0" w:color="auto"/>
              <w:right w:val="single" w:sz="4" w:space="0" w:color="auto"/>
            </w:tcBorders>
            <w:shd w:val="clear" w:color="auto" w:fill="auto"/>
            <w:vAlign w:val="center"/>
            <w:hideMark/>
          </w:tcPr>
          <w:p w14:paraId="3F4055F2"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1,963,175 </w:t>
            </w:r>
          </w:p>
        </w:tc>
        <w:tc>
          <w:tcPr>
            <w:tcW w:w="1257" w:type="dxa"/>
            <w:tcBorders>
              <w:top w:val="nil"/>
              <w:left w:val="nil"/>
              <w:bottom w:val="single" w:sz="4" w:space="0" w:color="auto"/>
              <w:right w:val="single" w:sz="4" w:space="0" w:color="auto"/>
            </w:tcBorders>
            <w:shd w:val="clear" w:color="auto" w:fill="auto"/>
            <w:vAlign w:val="center"/>
            <w:hideMark/>
          </w:tcPr>
          <w:p w14:paraId="222E081F"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767,825 </w:t>
            </w:r>
          </w:p>
        </w:tc>
        <w:tc>
          <w:tcPr>
            <w:tcW w:w="0" w:type="auto"/>
            <w:tcBorders>
              <w:top w:val="nil"/>
              <w:left w:val="nil"/>
              <w:bottom w:val="single" w:sz="4" w:space="0" w:color="auto"/>
              <w:right w:val="single" w:sz="4" w:space="0" w:color="auto"/>
            </w:tcBorders>
            <w:shd w:val="clear" w:color="auto" w:fill="auto"/>
            <w:vAlign w:val="center"/>
            <w:hideMark/>
          </w:tcPr>
          <w:p w14:paraId="5AFA539E"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39%</w:t>
            </w:r>
          </w:p>
        </w:tc>
      </w:tr>
      <w:tr w:rsidR="00CD3708" w:rsidRPr="00740C75" w14:paraId="67FC70C3" w14:textId="77777777" w:rsidTr="00740C75">
        <w:trPr>
          <w:trHeight w:val="4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7026B8"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10</w:t>
            </w:r>
          </w:p>
        </w:tc>
        <w:tc>
          <w:tcPr>
            <w:tcW w:w="2631" w:type="dxa"/>
            <w:tcBorders>
              <w:top w:val="nil"/>
              <w:left w:val="nil"/>
              <w:bottom w:val="single" w:sz="4" w:space="0" w:color="auto"/>
              <w:right w:val="single" w:sz="4" w:space="0" w:color="auto"/>
            </w:tcBorders>
            <w:shd w:val="clear" w:color="auto" w:fill="auto"/>
            <w:vAlign w:val="center"/>
            <w:hideMark/>
          </w:tcPr>
          <w:p w14:paraId="168A1A64" w14:textId="77777777" w:rsidR="00CD3708" w:rsidRPr="00740C75" w:rsidRDefault="00CD3708" w:rsidP="00AD52FD">
            <w:pPr>
              <w:spacing w:after="0" w:line="240" w:lineRule="auto"/>
              <w:rPr>
                <w:rFonts w:eastAsia="Times New Roman" w:cs="Times New Roman"/>
                <w:color w:val="000000"/>
                <w:sz w:val="14"/>
                <w:szCs w:val="20"/>
                <w:lang w:eastAsia="es-GT"/>
              </w:rPr>
            </w:pPr>
            <w:r w:rsidRPr="00740C75">
              <w:rPr>
                <w:rFonts w:eastAsia="Times New Roman" w:cs="Times New Roman"/>
                <w:color w:val="000000"/>
                <w:sz w:val="14"/>
                <w:szCs w:val="20"/>
                <w:lang w:eastAsia="es-GT"/>
              </w:rPr>
              <w:t xml:space="preserve">Comité Olímpico Guatemalteco </w:t>
            </w:r>
          </w:p>
        </w:tc>
        <w:tc>
          <w:tcPr>
            <w:tcW w:w="1276" w:type="dxa"/>
            <w:tcBorders>
              <w:top w:val="nil"/>
              <w:left w:val="nil"/>
              <w:bottom w:val="single" w:sz="4" w:space="0" w:color="auto"/>
              <w:right w:val="single" w:sz="4" w:space="0" w:color="auto"/>
            </w:tcBorders>
            <w:shd w:val="clear" w:color="auto" w:fill="auto"/>
            <w:vAlign w:val="center"/>
            <w:hideMark/>
          </w:tcPr>
          <w:p w14:paraId="4B2334FC"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COG</w:t>
            </w:r>
          </w:p>
        </w:tc>
        <w:tc>
          <w:tcPr>
            <w:tcW w:w="1278" w:type="dxa"/>
            <w:tcBorders>
              <w:top w:val="nil"/>
              <w:left w:val="nil"/>
              <w:bottom w:val="single" w:sz="4" w:space="0" w:color="auto"/>
              <w:right w:val="single" w:sz="4" w:space="0" w:color="auto"/>
            </w:tcBorders>
            <w:shd w:val="clear" w:color="auto" w:fill="auto"/>
            <w:vAlign w:val="center"/>
            <w:hideMark/>
          </w:tcPr>
          <w:p w14:paraId="20B48C67"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26,450,000 </w:t>
            </w:r>
          </w:p>
        </w:tc>
        <w:tc>
          <w:tcPr>
            <w:tcW w:w="1275" w:type="dxa"/>
            <w:tcBorders>
              <w:top w:val="nil"/>
              <w:left w:val="nil"/>
              <w:bottom w:val="single" w:sz="4" w:space="0" w:color="auto"/>
              <w:right w:val="single" w:sz="4" w:space="0" w:color="auto"/>
            </w:tcBorders>
            <w:shd w:val="clear" w:color="auto" w:fill="auto"/>
            <w:vAlign w:val="center"/>
            <w:hideMark/>
          </w:tcPr>
          <w:p w14:paraId="497B11A0"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51,961,328 </w:t>
            </w:r>
          </w:p>
        </w:tc>
        <w:tc>
          <w:tcPr>
            <w:tcW w:w="1257" w:type="dxa"/>
            <w:tcBorders>
              <w:top w:val="nil"/>
              <w:left w:val="nil"/>
              <w:bottom w:val="single" w:sz="4" w:space="0" w:color="auto"/>
              <w:right w:val="single" w:sz="4" w:space="0" w:color="auto"/>
            </w:tcBorders>
            <w:shd w:val="clear" w:color="auto" w:fill="auto"/>
            <w:vAlign w:val="center"/>
            <w:hideMark/>
          </w:tcPr>
          <w:p w14:paraId="11600889"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22,320,461 </w:t>
            </w:r>
          </w:p>
        </w:tc>
        <w:tc>
          <w:tcPr>
            <w:tcW w:w="0" w:type="auto"/>
            <w:tcBorders>
              <w:top w:val="nil"/>
              <w:left w:val="nil"/>
              <w:bottom w:val="single" w:sz="4" w:space="0" w:color="auto"/>
              <w:right w:val="single" w:sz="4" w:space="0" w:color="auto"/>
            </w:tcBorders>
            <w:shd w:val="clear" w:color="auto" w:fill="auto"/>
            <w:vAlign w:val="center"/>
            <w:hideMark/>
          </w:tcPr>
          <w:p w14:paraId="2C342858"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43%</w:t>
            </w:r>
          </w:p>
        </w:tc>
      </w:tr>
      <w:tr w:rsidR="00CD3708" w:rsidRPr="00740C75" w14:paraId="38D842C4" w14:textId="77777777" w:rsidTr="00740C75">
        <w:trPr>
          <w:trHeight w:val="4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7EDCE7"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11</w:t>
            </w:r>
          </w:p>
        </w:tc>
        <w:tc>
          <w:tcPr>
            <w:tcW w:w="2631" w:type="dxa"/>
            <w:tcBorders>
              <w:top w:val="nil"/>
              <w:left w:val="nil"/>
              <w:bottom w:val="single" w:sz="4" w:space="0" w:color="auto"/>
              <w:right w:val="single" w:sz="4" w:space="0" w:color="auto"/>
            </w:tcBorders>
            <w:shd w:val="clear" w:color="auto" w:fill="auto"/>
            <w:vAlign w:val="center"/>
            <w:hideMark/>
          </w:tcPr>
          <w:p w14:paraId="4FED719E" w14:textId="77777777" w:rsidR="00CD3708" w:rsidRPr="00740C75" w:rsidRDefault="00CD3708" w:rsidP="00AD52FD">
            <w:pPr>
              <w:spacing w:after="0" w:line="240" w:lineRule="auto"/>
              <w:rPr>
                <w:rFonts w:eastAsia="Times New Roman" w:cs="Times New Roman"/>
                <w:color w:val="000000"/>
                <w:sz w:val="14"/>
                <w:szCs w:val="20"/>
                <w:lang w:eastAsia="es-GT"/>
              </w:rPr>
            </w:pPr>
            <w:r w:rsidRPr="00740C75">
              <w:rPr>
                <w:rFonts w:eastAsia="Times New Roman" w:cs="Times New Roman"/>
                <w:color w:val="000000"/>
                <w:sz w:val="14"/>
                <w:szCs w:val="20"/>
                <w:lang w:eastAsia="es-GT"/>
              </w:rPr>
              <w:t>Comité Permanente De Exposiciones</w:t>
            </w:r>
          </w:p>
        </w:tc>
        <w:tc>
          <w:tcPr>
            <w:tcW w:w="1276" w:type="dxa"/>
            <w:tcBorders>
              <w:top w:val="nil"/>
              <w:left w:val="nil"/>
              <w:bottom w:val="single" w:sz="4" w:space="0" w:color="auto"/>
              <w:right w:val="single" w:sz="4" w:space="0" w:color="auto"/>
            </w:tcBorders>
            <w:shd w:val="clear" w:color="auto" w:fill="auto"/>
            <w:vAlign w:val="center"/>
            <w:hideMark/>
          </w:tcPr>
          <w:p w14:paraId="632CA339"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 xml:space="preserve"> COPEREX</w:t>
            </w:r>
          </w:p>
        </w:tc>
        <w:tc>
          <w:tcPr>
            <w:tcW w:w="1278" w:type="dxa"/>
            <w:tcBorders>
              <w:top w:val="nil"/>
              <w:left w:val="nil"/>
              <w:bottom w:val="single" w:sz="4" w:space="0" w:color="auto"/>
              <w:right w:val="single" w:sz="4" w:space="0" w:color="auto"/>
            </w:tcBorders>
            <w:shd w:val="clear" w:color="auto" w:fill="auto"/>
            <w:vAlign w:val="center"/>
            <w:hideMark/>
          </w:tcPr>
          <w:p w14:paraId="427E9FF8"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3,216,912 </w:t>
            </w:r>
          </w:p>
        </w:tc>
        <w:tc>
          <w:tcPr>
            <w:tcW w:w="1275" w:type="dxa"/>
            <w:tcBorders>
              <w:top w:val="nil"/>
              <w:left w:val="nil"/>
              <w:bottom w:val="single" w:sz="4" w:space="0" w:color="auto"/>
              <w:right w:val="single" w:sz="4" w:space="0" w:color="auto"/>
            </w:tcBorders>
            <w:shd w:val="clear" w:color="auto" w:fill="auto"/>
            <w:vAlign w:val="center"/>
            <w:hideMark/>
          </w:tcPr>
          <w:p w14:paraId="0ECBB3E8"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3,692,612 </w:t>
            </w:r>
          </w:p>
        </w:tc>
        <w:tc>
          <w:tcPr>
            <w:tcW w:w="1257" w:type="dxa"/>
            <w:tcBorders>
              <w:top w:val="nil"/>
              <w:left w:val="nil"/>
              <w:bottom w:val="single" w:sz="4" w:space="0" w:color="auto"/>
              <w:right w:val="single" w:sz="4" w:space="0" w:color="auto"/>
            </w:tcBorders>
            <w:shd w:val="clear" w:color="auto" w:fill="auto"/>
            <w:vAlign w:val="center"/>
            <w:hideMark/>
          </w:tcPr>
          <w:p w14:paraId="37C17158"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518,706 </w:t>
            </w:r>
          </w:p>
        </w:tc>
        <w:tc>
          <w:tcPr>
            <w:tcW w:w="0" w:type="auto"/>
            <w:tcBorders>
              <w:top w:val="nil"/>
              <w:left w:val="nil"/>
              <w:bottom w:val="single" w:sz="4" w:space="0" w:color="auto"/>
              <w:right w:val="single" w:sz="4" w:space="0" w:color="auto"/>
            </w:tcBorders>
            <w:shd w:val="clear" w:color="auto" w:fill="auto"/>
            <w:vAlign w:val="center"/>
            <w:hideMark/>
          </w:tcPr>
          <w:p w14:paraId="1326214D"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14%</w:t>
            </w:r>
          </w:p>
        </w:tc>
      </w:tr>
      <w:tr w:rsidR="00CD3708" w:rsidRPr="00740C75" w14:paraId="6E9B324E" w14:textId="77777777" w:rsidTr="00740C75">
        <w:trPr>
          <w:trHeight w:val="4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863118"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12</w:t>
            </w:r>
          </w:p>
        </w:tc>
        <w:tc>
          <w:tcPr>
            <w:tcW w:w="2631" w:type="dxa"/>
            <w:tcBorders>
              <w:top w:val="nil"/>
              <w:left w:val="nil"/>
              <w:bottom w:val="single" w:sz="4" w:space="0" w:color="auto"/>
              <w:right w:val="single" w:sz="4" w:space="0" w:color="auto"/>
            </w:tcBorders>
            <w:shd w:val="clear" w:color="auto" w:fill="auto"/>
            <w:vAlign w:val="center"/>
            <w:hideMark/>
          </w:tcPr>
          <w:p w14:paraId="46164208" w14:textId="77777777" w:rsidR="00CD3708" w:rsidRPr="00740C75" w:rsidRDefault="00CD3708" w:rsidP="00AD52FD">
            <w:pPr>
              <w:spacing w:after="0" w:line="240" w:lineRule="auto"/>
              <w:rPr>
                <w:rFonts w:eastAsia="Times New Roman" w:cs="Times New Roman"/>
                <w:color w:val="000000"/>
                <w:sz w:val="14"/>
                <w:szCs w:val="20"/>
                <w:lang w:eastAsia="es-GT"/>
              </w:rPr>
            </w:pPr>
            <w:r w:rsidRPr="00740C75">
              <w:rPr>
                <w:rFonts w:eastAsia="Times New Roman" w:cs="Times New Roman"/>
                <w:color w:val="000000"/>
                <w:sz w:val="14"/>
                <w:szCs w:val="20"/>
                <w:lang w:eastAsia="es-GT"/>
              </w:rPr>
              <w:t>Instituto De Previsión Militar</w:t>
            </w:r>
          </w:p>
        </w:tc>
        <w:tc>
          <w:tcPr>
            <w:tcW w:w="1276" w:type="dxa"/>
            <w:tcBorders>
              <w:top w:val="nil"/>
              <w:left w:val="nil"/>
              <w:bottom w:val="single" w:sz="4" w:space="0" w:color="auto"/>
              <w:right w:val="single" w:sz="4" w:space="0" w:color="auto"/>
            </w:tcBorders>
            <w:shd w:val="clear" w:color="auto" w:fill="auto"/>
            <w:vAlign w:val="center"/>
            <w:hideMark/>
          </w:tcPr>
          <w:p w14:paraId="5EEFFE5A"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 xml:space="preserve"> IPM</w:t>
            </w:r>
          </w:p>
        </w:tc>
        <w:tc>
          <w:tcPr>
            <w:tcW w:w="1278" w:type="dxa"/>
            <w:tcBorders>
              <w:top w:val="nil"/>
              <w:left w:val="nil"/>
              <w:bottom w:val="single" w:sz="4" w:space="0" w:color="auto"/>
              <w:right w:val="single" w:sz="4" w:space="0" w:color="auto"/>
            </w:tcBorders>
            <w:shd w:val="clear" w:color="auto" w:fill="auto"/>
            <w:vAlign w:val="center"/>
            <w:hideMark/>
          </w:tcPr>
          <w:p w14:paraId="37FDAD8B"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297,185,667 </w:t>
            </w:r>
          </w:p>
        </w:tc>
        <w:tc>
          <w:tcPr>
            <w:tcW w:w="1275" w:type="dxa"/>
            <w:tcBorders>
              <w:top w:val="nil"/>
              <w:left w:val="nil"/>
              <w:bottom w:val="single" w:sz="4" w:space="0" w:color="auto"/>
              <w:right w:val="single" w:sz="4" w:space="0" w:color="auto"/>
            </w:tcBorders>
            <w:shd w:val="clear" w:color="auto" w:fill="auto"/>
            <w:vAlign w:val="center"/>
            <w:hideMark/>
          </w:tcPr>
          <w:p w14:paraId="19F78816"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436,786,620 </w:t>
            </w:r>
          </w:p>
        </w:tc>
        <w:tc>
          <w:tcPr>
            <w:tcW w:w="1257" w:type="dxa"/>
            <w:tcBorders>
              <w:top w:val="nil"/>
              <w:left w:val="nil"/>
              <w:bottom w:val="single" w:sz="4" w:space="0" w:color="auto"/>
              <w:right w:val="single" w:sz="4" w:space="0" w:color="auto"/>
            </w:tcBorders>
            <w:shd w:val="clear" w:color="auto" w:fill="auto"/>
            <w:vAlign w:val="center"/>
            <w:hideMark/>
          </w:tcPr>
          <w:p w14:paraId="482C7E9F"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160,811,565 </w:t>
            </w:r>
          </w:p>
        </w:tc>
        <w:tc>
          <w:tcPr>
            <w:tcW w:w="0" w:type="auto"/>
            <w:tcBorders>
              <w:top w:val="nil"/>
              <w:left w:val="nil"/>
              <w:bottom w:val="single" w:sz="4" w:space="0" w:color="auto"/>
              <w:right w:val="single" w:sz="4" w:space="0" w:color="auto"/>
            </w:tcBorders>
            <w:shd w:val="clear" w:color="auto" w:fill="auto"/>
            <w:vAlign w:val="center"/>
            <w:hideMark/>
          </w:tcPr>
          <w:p w14:paraId="6E02704D"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37%</w:t>
            </w:r>
          </w:p>
        </w:tc>
      </w:tr>
      <w:tr w:rsidR="00CD3708" w:rsidRPr="00740C75" w14:paraId="367F2BF4" w14:textId="77777777" w:rsidTr="00740C75">
        <w:trPr>
          <w:trHeight w:val="4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E5CFBF"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13</w:t>
            </w:r>
          </w:p>
        </w:tc>
        <w:tc>
          <w:tcPr>
            <w:tcW w:w="2631" w:type="dxa"/>
            <w:tcBorders>
              <w:top w:val="nil"/>
              <w:left w:val="nil"/>
              <w:bottom w:val="single" w:sz="4" w:space="0" w:color="auto"/>
              <w:right w:val="single" w:sz="4" w:space="0" w:color="auto"/>
            </w:tcBorders>
            <w:shd w:val="clear" w:color="auto" w:fill="auto"/>
            <w:vAlign w:val="center"/>
            <w:hideMark/>
          </w:tcPr>
          <w:p w14:paraId="555FC480" w14:textId="77777777" w:rsidR="00CD3708" w:rsidRPr="00740C75" w:rsidRDefault="00CD3708" w:rsidP="00AD52FD">
            <w:pPr>
              <w:spacing w:after="0" w:line="240" w:lineRule="auto"/>
              <w:rPr>
                <w:rFonts w:eastAsia="Times New Roman" w:cs="Times New Roman"/>
                <w:color w:val="000000"/>
                <w:sz w:val="14"/>
                <w:szCs w:val="20"/>
                <w:lang w:eastAsia="es-GT"/>
              </w:rPr>
            </w:pPr>
            <w:r w:rsidRPr="00740C75">
              <w:rPr>
                <w:rFonts w:eastAsia="Times New Roman" w:cs="Times New Roman"/>
                <w:color w:val="000000"/>
                <w:sz w:val="14"/>
                <w:szCs w:val="20"/>
                <w:lang w:eastAsia="es-GT"/>
              </w:rPr>
              <w:t>Tribunal Supremo Electoral</w:t>
            </w:r>
          </w:p>
        </w:tc>
        <w:tc>
          <w:tcPr>
            <w:tcW w:w="1276" w:type="dxa"/>
            <w:tcBorders>
              <w:top w:val="nil"/>
              <w:left w:val="nil"/>
              <w:bottom w:val="single" w:sz="4" w:space="0" w:color="auto"/>
              <w:right w:val="single" w:sz="4" w:space="0" w:color="auto"/>
            </w:tcBorders>
            <w:shd w:val="clear" w:color="auto" w:fill="auto"/>
            <w:vAlign w:val="center"/>
            <w:hideMark/>
          </w:tcPr>
          <w:p w14:paraId="560254D7"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 xml:space="preserve"> TSE</w:t>
            </w:r>
          </w:p>
        </w:tc>
        <w:tc>
          <w:tcPr>
            <w:tcW w:w="1278" w:type="dxa"/>
            <w:tcBorders>
              <w:top w:val="nil"/>
              <w:left w:val="nil"/>
              <w:bottom w:val="single" w:sz="4" w:space="0" w:color="auto"/>
              <w:right w:val="single" w:sz="4" w:space="0" w:color="auto"/>
            </w:tcBorders>
            <w:shd w:val="clear" w:color="auto" w:fill="auto"/>
            <w:vAlign w:val="center"/>
            <w:hideMark/>
          </w:tcPr>
          <w:p w14:paraId="327D9CFD"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401,421 </w:t>
            </w:r>
          </w:p>
        </w:tc>
        <w:tc>
          <w:tcPr>
            <w:tcW w:w="1275" w:type="dxa"/>
            <w:tcBorders>
              <w:top w:val="nil"/>
              <w:left w:val="nil"/>
              <w:bottom w:val="single" w:sz="4" w:space="0" w:color="auto"/>
              <w:right w:val="single" w:sz="4" w:space="0" w:color="auto"/>
            </w:tcBorders>
            <w:shd w:val="clear" w:color="auto" w:fill="auto"/>
            <w:vAlign w:val="center"/>
            <w:hideMark/>
          </w:tcPr>
          <w:p w14:paraId="17FC6A6F"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570,073 </w:t>
            </w:r>
          </w:p>
        </w:tc>
        <w:tc>
          <w:tcPr>
            <w:tcW w:w="1257" w:type="dxa"/>
            <w:tcBorders>
              <w:top w:val="nil"/>
              <w:left w:val="nil"/>
              <w:bottom w:val="single" w:sz="4" w:space="0" w:color="auto"/>
              <w:right w:val="single" w:sz="4" w:space="0" w:color="auto"/>
            </w:tcBorders>
            <w:shd w:val="clear" w:color="auto" w:fill="auto"/>
            <w:vAlign w:val="center"/>
            <w:hideMark/>
          </w:tcPr>
          <w:p w14:paraId="498BD39B"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124,870 </w:t>
            </w:r>
          </w:p>
        </w:tc>
        <w:tc>
          <w:tcPr>
            <w:tcW w:w="0" w:type="auto"/>
            <w:tcBorders>
              <w:top w:val="nil"/>
              <w:left w:val="nil"/>
              <w:bottom w:val="single" w:sz="4" w:space="0" w:color="auto"/>
              <w:right w:val="single" w:sz="4" w:space="0" w:color="auto"/>
            </w:tcBorders>
            <w:shd w:val="clear" w:color="auto" w:fill="auto"/>
            <w:vAlign w:val="center"/>
            <w:hideMark/>
          </w:tcPr>
          <w:p w14:paraId="1441AC64"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22%</w:t>
            </w:r>
          </w:p>
        </w:tc>
      </w:tr>
      <w:tr w:rsidR="00CD3708" w:rsidRPr="00740C75" w14:paraId="5E52EC93" w14:textId="77777777" w:rsidTr="00740C75">
        <w:trPr>
          <w:trHeight w:val="4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C60F40"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14</w:t>
            </w:r>
          </w:p>
        </w:tc>
        <w:tc>
          <w:tcPr>
            <w:tcW w:w="2631" w:type="dxa"/>
            <w:tcBorders>
              <w:top w:val="nil"/>
              <w:left w:val="nil"/>
              <w:bottom w:val="single" w:sz="4" w:space="0" w:color="auto"/>
              <w:right w:val="single" w:sz="4" w:space="0" w:color="auto"/>
            </w:tcBorders>
            <w:shd w:val="clear" w:color="auto" w:fill="auto"/>
            <w:vAlign w:val="center"/>
            <w:hideMark/>
          </w:tcPr>
          <w:p w14:paraId="1443DB66" w14:textId="77777777" w:rsidR="00CD3708" w:rsidRPr="00740C75" w:rsidRDefault="00CD3708" w:rsidP="00AD52FD">
            <w:pPr>
              <w:spacing w:after="0" w:line="240" w:lineRule="auto"/>
              <w:rPr>
                <w:rFonts w:eastAsia="Times New Roman" w:cs="Times New Roman"/>
                <w:color w:val="000000"/>
                <w:sz w:val="14"/>
                <w:szCs w:val="20"/>
                <w:lang w:eastAsia="es-GT"/>
              </w:rPr>
            </w:pPr>
            <w:r w:rsidRPr="00740C75">
              <w:rPr>
                <w:rFonts w:eastAsia="Times New Roman" w:cs="Times New Roman"/>
                <w:color w:val="000000"/>
                <w:sz w:val="14"/>
                <w:szCs w:val="20"/>
                <w:lang w:eastAsia="es-GT"/>
              </w:rPr>
              <w:t xml:space="preserve">Registro Nacional De Las Personas </w:t>
            </w:r>
          </w:p>
        </w:tc>
        <w:tc>
          <w:tcPr>
            <w:tcW w:w="1276" w:type="dxa"/>
            <w:tcBorders>
              <w:top w:val="nil"/>
              <w:left w:val="nil"/>
              <w:bottom w:val="single" w:sz="4" w:space="0" w:color="auto"/>
              <w:right w:val="single" w:sz="4" w:space="0" w:color="auto"/>
            </w:tcBorders>
            <w:shd w:val="clear" w:color="auto" w:fill="auto"/>
            <w:vAlign w:val="center"/>
            <w:hideMark/>
          </w:tcPr>
          <w:p w14:paraId="0A44A708"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RENAP</w:t>
            </w:r>
          </w:p>
        </w:tc>
        <w:tc>
          <w:tcPr>
            <w:tcW w:w="1278" w:type="dxa"/>
            <w:tcBorders>
              <w:top w:val="nil"/>
              <w:left w:val="nil"/>
              <w:bottom w:val="single" w:sz="4" w:space="0" w:color="auto"/>
              <w:right w:val="single" w:sz="4" w:space="0" w:color="auto"/>
            </w:tcBorders>
            <w:shd w:val="clear" w:color="auto" w:fill="auto"/>
            <w:vAlign w:val="center"/>
            <w:hideMark/>
          </w:tcPr>
          <w:p w14:paraId="06C8A29F"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217,938,404 </w:t>
            </w:r>
          </w:p>
        </w:tc>
        <w:tc>
          <w:tcPr>
            <w:tcW w:w="1275" w:type="dxa"/>
            <w:tcBorders>
              <w:top w:val="nil"/>
              <w:left w:val="nil"/>
              <w:bottom w:val="single" w:sz="4" w:space="0" w:color="auto"/>
              <w:right w:val="single" w:sz="4" w:space="0" w:color="auto"/>
            </w:tcBorders>
            <w:shd w:val="clear" w:color="auto" w:fill="auto"/>
            <w:vAlign w:val="center"/>
            <w:hideMark/>
          </w:tcPr>
          <w:p w14:paraId="5A135087"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194,224,104 </w:t>
            </w:r>
          </w:p>
        </w:tc>
        <w:tc>
          <w:tcPr>
            <w:tcW w:w="1257" w:type="dxa"/>
            <w:tcBorders>
              <w:top w:val="nil"/>
              <w:left w:val="nil"/>
              <w:bottom w:val="single" w:sz="4" w:space="0" w:color="auto"/>
              <w:right w:val="single" w:sz="4" w:space="0" w:color="auto"/>
            </w:tcBorders>
            <w:shd w:val="clear" w:color="auto" w:fill="auto"/>
            <w:vAlign w:val="center"/>
            <w:hideMark/>
          </w:tcPr>
          <w:p w14:paraId="32052FAC" w14:textId="77777777" w:rsidR="00CD3708" w:rsidRPr="00740C75" w:rsidRDefault="00CD3708" w:rsidP="00AD52FD">
            <w:pPr>
              <w:spacing w:after="0" w:line="240" w:lineRule="auto"/>
              <w:rPr>
                <w:rFonts w:eastAsia="Times New Roman" w:cs="Times New Roman"/>
                <w:color w:val="000000"/>
                <w:sz w:val="14"/>
                <w:szCs w:val="18"/>
                <w:lang w:eastAsia="es-GT"/>
              </w:rPr>
            </w:pPr>
            <w:r w:rsidRPr="00740C75">
              <w:rPr>
                <w:rFonts w:eastAsia="Times New Roman" w:cs="Times New Roman"/>
                <w:color w:val="000000"/>
                <w:sz w:val="14"/>
                <w:szCs w:val="18"/>
                <w:lang w:eastAsia="es-GT"/>
              </w:rPr>
              <w:t xml:space="preserve"> Q        50,617,088 </w:t>
            </w:r>
          </w:p>
        </w:tc>
        <w:tc>
          <w:tcPr>
            <w:tcW w:w="0" w:type="auto"/>
            <w:tcBorders>
              <w:top w:val="nil"/>
              <w:left w:val="nil"/>
              <w:bottom w:val="single" w:sz="4" w:space="0" w:color="auto"/>
              <w:right w:val="single" w:sz="4" w:space="0" w:color="auto"/>
            </w:tcBorders>
            <w:shd w:val="clear" w:color="auto" w:fill="auto"/>
            <w:vAlign w:val="center"/>
            <w:hideMark/>
          </w:tcPr>
          <w:p w14:paraId="0C02B127" w14:textId="77777777" w:rsidR="00CD3708" w:rsidRPr="00740C75" w:rsidRDefault="00CD3708" w:rsidP="00AD52FD">
            <w:pPr>
              <w:spacing w:after="0" w:line="240" w:lineRule="auto"/>
              <w:jc w:val="center"/>
              <w:rPr>
                <w:rFonts w:eastAsia="Times New Roman" w:cs="Times New Roman"/>
                <w:color w:val="000000"/>
                <w:sz w:val="14"/>
                <w:szCs w:val="20"/>
                <w:lang w:eastAsia="es-GT"/>
              </w:rPr>
            </w:pPr>
            <w:r w:rsidRPr="00740C75">
              <w:rPr>
                <w:rFonts w:eastAsia="Times New Roman" w:cs="Times New Roman"/>
                <w:color w:val="000000"/>
                <w:sz w:val="14"/>
                <w:szCs w:val="20"/>
                <w:lang w:eastAsia="es-GT"/>
              </w:rPr>
              <w:t>26%</w:t>
            </w:r>
          </w:p>
        </w:tc>
      </w:tr>
    </w:tbl>
    <w:p w14:paraId="3EA86FE1" w14:textId="58B3ABE6" w:rsidR="00241AAE" w:rsidRDefault="00387A2F" w:rsidP="00153122">
      <w:pPr>
        <w:tabs>
          <w:tab w:val="left" w:pos="2190"/>
        </w:tabs>
        <w:spacing w:after="0" w:line="360" w:lineRule="auto"/>
        <w:rPr>
          <w:color w:val="231F20"/>
          <w:sz w:val="18"/>
          <w:szCs w:val="18"/>
        </w:rPr>
      </w:pPr>
      <w:r w:rsidRPr="00387A2F">
        <w:rPr>
          <w:color w:val="231F20"/>
          <w:sz w:val="18"/>
          <w:szCs w:val="18"/>
        </w:rPr>
        <w:t xml:space="preserve">Fuente: Sistema de Contabilidad Integrada (SICOIN), </w:t>
      </w:r>
      <w:r w:rsidR="00581492">
        <w:rPr>
          <w:color w:val="231F20"/>
          <w:sz w:val="18"/>
          <w:szCs w:val="18"/>
        </w:rPr>
        <w:t>del 1 de enero al 30 de junio</w:t>
      </w:r>
      <w:r w:rsidR="00581492" w:rsidRPr="00387A2F">
        <w:rPr>
          <w:color w:val="231F20"/>
          <w:sz w:val="18"/>
          <w:szCs w:val="18"/>
        </w:rPr>
        <w:t xml:space="preserve"> del 2021</w:t>
      </w:r>
    </w:p>
    <w:p w14:paraId="5AD488BF" w14:textId="77777777" w:rsidR="00387A2F" w:rsidRDefault="00387A2F" w:rsidP="00153122">
      <w:pPr>
        <w:tabs>
          <w:tab w:val="left" w:pos="2190"/>
        </w:tabs>
        <w:spacing w:after="0" w:line="360" w:lineRule="auto"/>
      </w:pPr>
    </w:p>
    <w:p w14:paraId="166E9130" w14:textId="3142CBF8" w:rsidR="00A975F1" w:rsidRDefault="00A975F1" w:rsidP="00A975F1">
      <w:pPr>
        <w:spacing w:after="0" w:line="360" w:lineRule="auto"/>
        <w:jc w:val="both"/>
        <w:rPr>
          <w:rFonts w:ascii="Calibri" w:eastAsia="Times New Roman" w:hAnsi="Calibri" w:cs="Times New Roman"/>
          <w:color w:val="000000"/>
          <w:lang w:eastAsia="es-GT"/>
        </w:rPr>
      </w:pPr>
      <w:r>
        <w:t xml:space="preserve">Como puede observarse </w:t>
      </w:r>
      <w:r w:rsidR="00A6207C">
        <w:t xml:space="preserve">en la </w:t>
      </w:r>
      <w:r w:rsidR="00F03162">
        <w:t>tabla 5</w:t>
      </w:r>
      <w:r w:rsidR="00A6207C">
        <w:t>,</w:t>
      </w:r>
      <w:r>
        <w:t xml:space="preserve"> </w:t>
      </w:r>
      <w:r w:rsidR="00F03162">
        <w:t xml:space="preserve">fueron </w:t>
      </w:r>
      <w:r>
        <w:t xml:space="preserve">14 </w:t>
      </w:r>
      <w:r w:rsidR="002C06CE">
        <w:t xml:space="preserve">instituciones descentralizadas </w:t>
      </w:r>
      <w:r w:rsidR="00F03162">
        <w:t xml:space="preserve">las que </w:t>
      </w:r>
      <w:r>
        <w:t xml:space="preserve">realizaron vinculación al CPEG, siendo el Organismo Judicial la entidad que mayor presupuesto vinculó, seguida del </w:t>
      </w:r>
      <w:r w:rsidRPr="00235CC9">
        <w:rPr>
          <w:rFonts w:ascii="Calibri" w:eastAsia="Times New Roman" w:hAnsi="Calibri" w:cs="Times New Roman"/>
          <w:color w:val="000000"/>
          <w:lang w:eastAsia="es-GT"/>
        </w:rPr>
        <w:t xml:space="preserve">Instituto </w:t>
      </w:r>
      <w:r w:rsidR="00407C3A">
        <w:rPr>
          <w:rFonts w:ascii="Calibri" w:eastAsia="Times New Roman" w:hAnsi="Calibri" w:cs="Times New Roman"/>
          <w:color w:val="000000"/>
          <w:lang w:eastAsia="es-GT"/>
        </w:rPr>
        <w:t>d</w:t>
      </w:r>
      <w:r w:rsidRPr="00235CC9">
        <w:rPr>
          <w:rFonts w:ascii="Calibri" w:eastAsia="Times New Roman" w:hAnsi="Calibri" w:cs="Times New Roman"/>
          <w:color w:val="000000"/>
          <w:lang w:eastAsia="es-GT"/>
        </w:rPr>
        <w:t>e Previsión Militar</w:t>
      </w:r>
      <w:r>
        <w:rPr>
          <w:rFonts w:ascii="Calibri" w:eastAsia="Times New Roman" w:hAnsi="Calibri" w:cs="Times New Roman"/>
          <w:color w:val="000000"/>
          <w:lang w:eastAsia="es-GT"/>
        </w:rPr>
        <w:t xml:space="preserve"> y el </w:t>
      </w:r>
      <w:r w:rsidRPr="00235CC9">
        <w:rPr>
          <w:rFonts w:ascii="Calibri" w:eastAsia="Times New Roman" w:hAnsi="Calibri" w:cs="Times New Roman"/>
          <w:color w:val="000000"/>
          <w:lang w:eastAsia="es-GT"/>
        </w:rPr>
        <w:t xml:space="preserve">Comité Nacional </w:t>
      </w:r>
      <w:r>
        <w:rPr>
          <w:rFonts w:ascii="Calibri" w:eastAsia="Times New Roman" w:hAnsi="Calibri" w:cs="Times New Roman"/>
          <w:color w:val="000000"/>
          <w:lang w:eastAsia="es-GT"/>
        </w:rPr>
        <w:t>d</w:t>
      </w:r>
      <w:r w:rsidRPr="00235CC9">
        <w:rPr>
          <w:rFonts w:ascii="Calibri" w:eastAsia="Times New Roman" w:hAnsi="Calibri" w:cs="Times New Roman"/>
          <w:color w:val="000000"/>
          <w:lang w:eastAsia="es-GT"/>
        </w:rPr>
        <w:t>e Alfabetización</w:t>
      </w:r>
      <w:r w:rsidR="00A6207C">
        <w:rPr>
          <w:rFonts w:ascii="Calibri" w:eastAsia="Times New Roman" w:hAnsi="Calibri" w:cs="Times New Roman"/>
          <w:color w:val="000000"/>
          <w:lang w:eastAsia="es-GT"/>
        </w:rPr>
        <w:t>.</w:t>
      </w:r>
      <w:r w:rsidR="000E6AD4">
        <w:rPr>
          <w:rFonts w:ascii="Calibri" w:eastAsia="Times New Roman" w:hAnsi="Calibri" w:cs="Times New Roman"/>
          <w:color w:val="000000"/>
          <w:lang w:eastAsia="es-GT"/>
        </w:rPr>
        <w:t xml:space="preserve"> </w:t>
      </w:r>
      <w:r w:rsidR="00F03162">
        <w:t xml:space="preserve">La </w:t>
      </w:r>
      <w:r w:rsidR="00F03162" w:rsidRPr="00F03162">
        <w:t xml:space="preserve">Coordinadora Nacional </w:t>
      </w:r>
      <w:r w:rsidR="003D7346">
        <w:t>p</w:t>
      </w:r>
      <w:r w:rsidR="00F03162" w:rsidRPr="00F03162">
        <w:t xml:space="preserve">ara </w:t>
      </w:r>
      <w:r w:rsidR="003D7346">
        <w:t>l</w:t>
      </w:r>
      <w:r w:rsidR="00F03162" w:rsidRPr="00F03162">
        <w:t xml:space="preserve">a Reducción </w:t>
      </w:r>
      <w:r w:rsidR="003D7346">
        <w:t>d</w:t>
      </w:r>
      <w:r w:rsidR="00F03162" w:rsidRPr="00F03162">
        <w:t xml:space="preserve">e Desastres </w:t>
      </w:r>
      <w:r w:rsidR="003D7346">
        <w:t>d</w:t>
      </w:r>
      <w:r w:rsidR="00F03162" w:rsidRPr="00F03162">
        <w:t xml:space="preserve">e Origen Natural </w:t>
      </w:r>
      <w:r w:rsidR="003D7346">
        <w:t>o</w:t>
      </w:r>
      <w:r w:rsidR="00F03162" w:rsidRPr="00F03162">
        <w:t xml:space="preserve"> Provocado</w:t>
      </w:r>
      <w:r w:rsidR="003D7346">
        <w:t>-CONRED-</w:t>
      </w:r>
      <w:r w:rsidR="00F03162" w:rsidRPr="00F03162">
        <w:t xml:space="preserve"> fue la entidad que mayor </w:t>
      </w:r>
      <w:r w:rsidR="00F03162" w:rsidRPr="00F03162">
        <w:lastRenderedPageBreak/>
        <w:t>presupuesto ejecutó en este periodo</w:t>
      </w:r>
      <w:r w:rsidR="00F03162">
        <w:t>, seguida del Organismo Judicial -OJ- y del Comité Olímpico Guatemalteco.</w:t>
      </w:r>
    </w:p>
    <w:p w14:paraId="546C7D62" w14:textId="61130984" w:rsidR="003E6665" w:rsidRDefault="003E6665" w:rsidP="00A975F1">
      <w:pPr>
        <w:spacing w:after="0" w:line="360" w:lineRule="auto"/>
        <w:jc w:val="both"/>
        <w:rPr>
          <w:rFonts w:ascii="Calibri" w:eastAsia="Times New Roman" w:hAnsi="Calibri" w:cs="Times New Roman"/>
          <w:color w:val="000000"/>
          <w:lang w:eastAsia="es-GT"/>
        </w:rPr>
      </w:pPr>
    </w:p>
    <w:p w14:paraId="326102E4" w14:textId="735715AF" w:rsidR="003E6665" w:rsidRPr="00C75BD3" w:rsidRDefault="00C75BD3" w:rsidP="00A975F1">
      <w:pPr>
        <w:spacing w:after="0" w:line="360" w:lineRule="auto"/>
        <w:jc w:val="both"/>
      </w:pPr>
      <w:r w:rsidRPr="00C75BD3">
        <w:t xml:space="preserve">En la gráfica 2 evidencia instituciones como el </w:t>
      </w:r>
      <w:r w:rsidR="002C06CE">
        <w:t>Instituto de Fomento Municipal -</w:t>
      </w:r>
      <w:r w:rsidRPr="00C75BD3">
        <w:t xml:space="preserve">INFOM, </w:t>
      </w:r>
      <w:r w:rsidR="002C06CE">
        <w:t>Instituto de Previsión Militar -</w:t>
      </w:r>
      <w:r w:rsidRPr="00C75BD3">
        <w:t xml:space="preserve">IPM y </w:t>
      </w:r>
      <w:r w:rsidR="002C06CE">
        <w:t xml:space="preserve">Organismo </w:t>
      </w:r>
      <w:r w:rsidR="00693368">
        <w:t>Judicial -</w:t>
      </w:r>
      <w:r w:rsidRPr="00C75BD3">
        <w:t xml:space="preserve">OJ, </w:t>
      </w:r>
      <w:r w:rsidR="00693368">
        <w:t xml:space="preserve">que </w:t>
      </w:r>
      <w:r w:rsidRPr="00C75BD3">
        <w:t xml:space="preserve">incrementaron el presupuesto asignado </w:t>
      </w:r>
      <w:r w:rsidR="00693368">
        <w:t xml:space="preserve">sin embargo su </w:t>
      </w:r>
      <w:r w:rsidR="00693368" w:rsidRPr="00C75BD3">
        <w:t>ejecución</w:t>
      </w:r>
      <w:r w:rsidRPr="00C75BD3">
        <w:t xml:space="preserve"> ha sido baja</w:t>
      </w:r>
      <w:r w:rsidR="00666319">
        <w:t>.</w:t>
      </w:r>
      <w:r w:rsidR="00F03162">
        <w:t xml:space="preserve"> </w:t>
      </w:r>
    </w:p>
    <w:p w14:paraId="362DFF83" w14:textId="77777777" w:rsidR="00666319" w:rsidRDefault="00666319" w:rsidP="00A975F1">
      <w:pPr>
        <w:spacing w:after="0" w:line="360" w:lineRule="auto"/>
        <w:jc w:val="both"/>
        <w:rPr>
          <w:rFonts w:ascii="Calibri" w:eastAsia="Times New Roman" w:hAnsi="Calibri" w:cs="Times New Roman"/>
          <w:color w:val="000000"/>
          <w:lang w:eastAsia="es-GT"/>
        </w:rPr>
      </w:pPr>
    </w:p>
    <w:p w14:paraId="4C8DD6DD" w14:textId="441EB9C6" w:rsidR="00743161" w:rsidRDefault="00743161" w:rsidP="00743161">
      <w:pPr>
        <w:spacing w:after="0" w:line="360" w:lineRule="auto"/>
        <w:jc w:val="center"/>
        <w:rPr>
          <w:rFonts w:ascii="Calibri" w:eastAsia="Times New Roman" w:hAnsi="Calibri" w:cs="Times New Roman"/>
          <w:color w:val="000000"/>
          <w:lang w:eastAsia="es-GT"/>
        </w:rPr>
      </w:pPr>
      <w:r>
        <w:rPr>
          <w:rFonts w:ascii="Calibri" w:eastAsia="Times New Roman" w:hAnsi="Calibri" w:cs="Times New Roman"/>
          <w:color w:val="000000"/>
          <w:lang w:eastAsia="es-GT"/>
        </w:rPr>
        <w:t xml:space="preserve">Gráfica </w:t>
      </w:r>
      <w:r w:rsidR="005A172A">
        <w:rPr>
          <w:rFonts w:ascii="Calibri" w:eastAsia="Times New Roman" w:hAnsi="Calibri" w:cs="Times New Roman"/>
          <w:color w:val="000000"/>
          <w:lang w:eastAsia="es-GT"/>
        </w:rPr>
        <w:t>2</w:t>
      </w:r>
    </w:p>
    <w:p w14:paraId="6B7C7508" w14:textId="20A2A640" w:rsidR="00743161" w:rsidRDefault="00743161" w:rsidP="00565EF9">
      <w:pPr>
        <w:spacing w:after="0" w:line="360" w:lineRule="auto"/>
        <w:jc w:val="center"/>
        <w:rPr>
          <w:rFonts w:ascii="Calibri" w:eastAsia="Times New Roman" w:hAnsi="Calibri" w:cs="Times New Roman"/>
          <w:color w:val="000000"/>
          <w:lang w:eastAsia="es-GT"/>
        </w:rPr>
      </w:pPr>
      <w:r>
        <w:rPr>
          <w:noProof/>
          <w:lang w:eastAsia="es-GT"/>
        </w:rPr>
        <w:drawing>
          <wp:inline distT="0" distB="0" distL="0" distR="0" wp14:anchorId="1AD0AE28" wp14:editId="6087064C">
            <wp:extent cx="4834393" cy="3180080"/>
            <wp:effectExtent l="0" t="0" r="4445" b="1270"/>
            <wp:docPr id="3" name="Gráfico 3">
              <a:extLst xmlns:a="http://schemas.openxmlformats.org/drawingml/2006/main">
                <a:ext uri="{FF2B5EF4-FFF2-40B4-BE49-F238E27FC236}">
                  <a16:creationId xmlns:a16="http://schemas.microsoft.com/office/drawing/2014/main" id="{FF9F0CA8-AE0D-4A41-AC97-3C29AC87A3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960345" w14:textId="46086AF9" w:rsidR="00363765" w:rsidRDefault="00363765" w:rsidP="00A975F1">
      <w:pPr>
        <w:spacing w:after="0" w:line="360" w:lineRule="auto"/>
        <w:jc w:val="both"/>
        <w:rPr>
          <w:rFonts w:ascii="Calibri" w:eastAsia="Times New Roman" w:hAnsi="Calibri" w:cs="Times New Roman"/>
          <w:color w:val="000000"/>
          <w:lang w:eastAsia="es-GT"/>
        </w:rPr>
      </w:pPr>
    </w:p>
    <w:p w14:paraId="2CC309DE" w14:textId="2A682D89" w:rsidR="00080E33" w:rsidRDefault="00363765" w:rsidP="007C55F1">
      <w:pPr>
        <w:spacing w:after="0" w:line="360" w:lineRule="auto"/>
        <w:jc w:val="both"/>
        <w:rPr>
          <w:rFonts w:ascii="Calibri" w:eastAsia="Times New Roman" w:hAnsi="Calibri" w:cs="Times New Roman"/>
          <w:color w:val="000000"/>
          <w:lang w:eastAsia="es-GT"/>
        </w:rPr>
      </w:pPr>
      <w:r>
        <w:rPr>
          <w:rFonts w:ascii="Calibri" w:eastAsia="Times New Roman" w:hAnsi="Calibri" w:cs="Times New Roman"/>
          <w:color w:val="000000"/>
          <w:lang w:eastAsia="es-GT"/>
        </w:rPr>
        <w:t>La tabla 6 presenta el presupuesto vinculado</w:t>
      </w:r>
      <w:r w:rsidR="005352B7">
        <w:rPr>
          <w:rFonts w:ascii="Calibri" w:eastAsia="Times New Roman" w:hAnsi="Calibri" w:cs="Times New Roman"/>
          <w:color w:val="000000"/>
          <w:lang w:eastAsia="es-GT"/>
        </w:rPr>
        <w:t xml:space="preserve"> por parte de las </w:t>
      </w:r>
      <w:r w:rsidR="00693368">
        <w:rPr>
          <w:rFonts w:ascii="Calibri" w:eastAsia="Times New Roman" w:hAnsi="Calibri" w:cs="Times New Roman"/>
          <w:color w:val="000000"/>
          <w:lang w:eastAsia="es-GT"/>
        </w:rPr>
        <w:t xml:space="preserve">instituciones </w:t>
      </w:r>
      <w:r w:rsidR="005352B7">
        <w:rPr>
          <w:rFonts w:ascii="Calibri" w:eastAsia="Times New Roman" w:hAnsi="Calibri" w:cs="Times New Roman"/>
          <w:color w:val="000000"/>
          <w:lang w:eastAsia="es-GT"/>
        </w:rPr>
        <w:t>descentralizadas</w:t>
      </w:r>
      <w:r>
        <w:rPr>
          <w:rFonts w:ascii="Calibri" w:eastAsia="Times New Roman" w:hAnsi="Calibri" w:cs="Times New Roman"/>
          <w:color w:val="000000"/>
          <w:lang w:eastAsia="es-GT"/>
        </w:rPr>
        <w:t xml:space="preserve"> </w:t>
      </w:r>
      <w:r w:rsidR="00ED73AF">
        <w:rPr>
          <w:rFonts w:ascii="Calibri" w:eastAsia="Times New Roman" w:hAnsi="Calibri" w:cs="Times New Roman"/>
          <w:color w:val="000000"/>
          <w:lang w:eastAsia="es-GT"/>
        </w:rPr>
        <w:t>acorde al criterio de beneficiario</w:t>
      </w:r>
      <w:r w:rsidR="00693368">
        <w:rPr>
          <w:rFonts w:ascii="Calibri" w:eastAsia="Times New Roman" w:hAnsi="Calibri" w:cs="Times New Roman"/>
          <w:color w:val="000000"/>
          <w:lang w:eastAsia="es-GT"/>
        </w:rPr>
        <w:t xml:space="preserve">, </w:t>
      </w:r>
      <w:r w:rsidR="007C55F1" w:rsidRPr="007C55F1">
        <w:rPr>
          <w:rFonts w:ascii="Calibri" w:eastAsia="Times New Roman" w:hAnsi="Calibri" w:cs="Times New Roman"/>
          <w:color w:val="000000"/>
          <w:lang w:eastAsia="es-GT"/>
        </w:rPr>
        <w:t>se destaca que en términos nominales. el presupuesto se concentró en el código Familia o Grupos Sociales con Énfasis en Mujeres, en tanto que</w:t>
      </w:r>
      <w:r w:rsidR="007C1FF4">
        <w:rPr>
          <w:rFonts w:ascii="Calibri" w:eastAsia="Times New Roman" w:hAnsi="Calibri" w:cs="Times New Roman"/>
          <w:color w:val="000000"/>
          <w:lang w:eastAsia="es-GT"/>
        </w:rPr>
        <w:t>,</w:t>
      </w:r>
      <w:r w:rsidR="007C55F1" w:rsidRPr="007C55F1">
        <w:rPr>
          <w:rFonts w:ascii="Calibri" w:eastAsia="Times New Roman" w:hAnsi="Calibri" w:cs="Times New Roman"/>
          <w:color w:val="000000"/>
          <w:lang w:eastAsia="es-GT"/>
        </w:rPr>
        <w:t xml:space="preserve"> en capacidad de ejecución, el mayor porcentaje correspondió al criterio con Exclusividad en Mujeres</w:t>
      </w:r>
      <w:r w:rsidR="007C55F1">
        <w:rPr>
          <w:rFonts w:ascii="Segoe UI" w:hAnsi="Segoe UI" w:cs="Segoe UI"/>
          <w:color w:val="000000"/>
          <w:sz w:val="20"/>
          <w:szCs w:val="20"/>
        </w:rPr>
        <w:t>.</w:t>
      </w:r>
      <w:r w:rsidR="00080E33">
        <w:rPr>
          <w:rFonts w:ascii="Calibri" w:eastAsia="Times New Roman" w:hAnsi="Calibri" w:cs="Times New Roman"/>
          <w:color w:val="000000"/>
          <w:lang w:eastAsia="es-GT"/>
        </w:rPr>
        <w:br w:type="page"/>
      </w:r>
    </w:p>
    <w:p w14:paraId="03E9BB62" w14:textId="77777777" w:rsidR="00363765" w:rsidRDefault="00363765" w:rsidP="00A975F1">
      <w:pPr>
        <w:spacing w:after="0" w:line="360" w:lineRule="auto"/>
        <w:jc w:val="both"/>
        <w:rPr>
          <w:rFonts w:ascii="Calibri" w:eastAsia="Times New Roman" w:hAnsi="Calibri" w:cs="Times New Roman"/>
          <w:color w:val="000000"/>
          <w:lang w:eastAsia="es-GT"/>
        </w:rPr>
      </w:pPr>
    </w:p>
    <w:p w14:paraId="6A9CB5F8" w14:textId="481FB6BA" w:rsidR="000B7170" w:rsidRPr="00073CA5" w:rsidRDefault="000B7170" w:rsidP="00073CA5">
      <w:pPr>
        <w:pStyle w:val="Tabla"/>
        <w:jc w:val="center"/>
        <w:rPr>
          <w:b/>
          <w:bCs/>
        </w:rPr>
      </w:pPr>
      <w:r w:rsidRPr="00073CA5">
        <w:rPr>
          <w:b/>
          <w:bCs/>
        </w:rPr>
        <w:t>Tabla 6</w:t>
      </w:r>
    </w:p>
    <w:p w14:paraId="1FBD3329" w14:textId="77777777" w:rsidR="00DD4B92" w:rsidRPr="00337B99" w:rsidRDefault="00DD4B92" w:rsidP="00DD4B92">
      <w:pPr>
        <w:spacing w:after="0" w:line="240" w:lineRule="auto"/>
        <w:jc w:val="center"/>
        <w:rPr>
          <w:rFonts w:ascii="Calibri" w:eastAsia="Times New Roman" w:hAnsi="Calibri" w:cs="Times New Roman"/>
          <w:b/>
          <w:bCs/>
          <w:color w:val="000000"/>
          <w:lang w:eastAsia="es-GT"/>
        </w:rPr>
      </w:pPr>
      <w:r w:rsidRPr="00337B99">
        <w:rPr>
          <w:rFonts w:ascii="Calibri" w:eastAsia="Times New Roman" w:hAnsi="Calibri" w:cs="Times New Roman"/>
          <w:b/>
          <w:bCs/>
          <w:color w:val="000000"/>
          <w:lang w:eastAsia="es-GT"/>
        </w:rPr>
        <w:t>Presupuesto Vinculado al CPEG en el Primer Semestre 2021</w:t>
      </w:r>
    </w:p>
    <w:p w14:paraId="71E45047" w14:textId="4A245C8E" w:rsidR="00DD4B92" w:rsidRDefault="00DD4B92" w:rsidP="00DD4B92">
      <w:pPr>
        <w:tabs>
          <w:tab w:val="left" w:pos="1275"/>
        </w:tabs>
        <w:spacing w:line="240" w:lineRule="auto"/>
        <w:jc w:val="center"/>
        <w:rPr>
          <w:b/>
          <w:bCs/>
        </w:rPr>
      </w:pPr>
      <w:r w:rsidRPr="00337B99">
        <w:rPr>
          <w:b/>
          <w:bCs/>
        </w:rPr>
        <w:t xml:space="preserve">Entidades de gobierno </w:t>
      </w:r>
      <w:r>
        <w:rPr>
          <w:b/>
          <w:bCs/>
        </w:rPr>
        <w:t>descentralizadas</w:t>
      </w:r>
      <w:r w:rsidRPr="00337B99">
        <w:rPr>
          <w:b/>
          <w:bCs/>
        </w:rPr>
        <w:t xml:space="preserve"> por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2"/>
        <w:gridCol w:w="1853"/>
        <w:gridCol w:w="1853"/>
        <w:gridCol w:w="1881"/>
        <w:gridCol w:w="989"/>
      </w:tblGrid>
      <w:tr w:rsidR="00EE2C68" w:rsidRPr="00102B7D" w14:paraId="5F051BF0" w14:textId="77777777" w:rsidTr="00ED73AF">
        <w:trPr>
          <w:trHeight w:val="544"/>
        </w:trPr>
        <w:tc>
          <w:tcPr>
            <w:tcW w:w="0" w:type="auto"/>
            <w:shd w:val="clear" w:color="000000" w:fill="1F4E78"/>
            <w:noWrap/>
            <w:vAlign w:val="center"/>
            <w:hideMark/>
          </w:tcPr>
          <w:p w14:paraId="27DE1AE6" w14:textId="77777777" w:rsidR="00EE2C68" w:rsidRPr="00102B7D" w:rsidRDefault="00EE2C68" w:rsidP="00AD52FD">
            <w:pPr>
              <w:spacing w:after="0" w:line="240" w:lineRule="auto"/>
              <w:jc w:val="center"/>
              <w:rPr>
                <w:rFonts w:ascii="Calibri" w:eastAsia="Times New Roman" w:hAnsi="Calibri" w:cs="Times New Roman"/>
                <w:b/>
                <w:bCs/>
                <w:color w:val="F2F2F2"/>
                <w:sz w:val="20"/>
                <w:szCs w:val="20"/>
                <w:lang w:eastAsia="es-GT"/>
              </w:rPr>
            </w:pPr>
            <w:r w:rsidRPr="00102B7D">
              <w:rPr>
                <w:rFonts w:ascii="Calibri" w:eastAsia="Times New Roman" w:hAnsi="Calibri" w:cs="Times New Roman"/>
                <w:b/>
                <w:bCs/>
                <w:color w:val="F2F2F2"/>
                <w:sz w:val="20"/>
                <w:szCs w:val="20"/>
                <w:lang w:eastAsia="es-GT"/>
              </w:rPr>
              <w:t>Criterio</w:t>
            </w:r>
          </w:p>
        </w:tc>
        <w:tc>
          <w:tcPr>
            <w:tcW w:w="0" w:type="auto"/>
            <w:shd w:val="clear" w:color="000000" w:fill="1F4E78"/>
            <w:noWrap/>
            <w:vAlign w:val="center"/>
            <w:hideMark/>
          </w:tcPr>
          <w:p w14:paraId="0EBAA0A1" w14:textId="77777777" w:rsidR="00EE2C68" w:rsidRPr="00102B7D" w:rsidRDefault="00EE2C68" w:rsidP="00AD52FD">
            <w:pPr>
              <w:spacing w:after="0" w:line="240" w:lineRule="auto"/>
              <w:jc w:val="center"/>
              <w:rPr>
                <w:rFonts w:ascii="Calibri" w:eastAsia="Times New Roman" w:hAnsi="Calibri" w:cs="Times New Roman"/>
                <w:b/>
                <w:bCs/>
                <w:color w:val="F2F2F2"/>
                <w:sz w:val="20"/>
                <w:szCs w:val="20"/>
                <w:lang w:eastAsia="es-GT"/>
              </w:rPr>
            </w:pPr>
            <w:r w:rsidRPr="00102B7D">
              <w:rPr>
                <w:rFonts w:ascii="Calibri" w:eastAsia="Times New Roman" w:hAnsi="Calibri" w:cs="Times New Roman"/>
                <w:b/>
                <w:bCs/>
                <w:color w:val="F2F2F2"/>
                <w:sz w:val="20"/>
                <w:szCs w:val="20"/>
                <w:lang w:eastAsia="es-GT"/>
              </w:rPr>
              <w:t>Asignado</w:t>
            </w:r>
          </w:p>
        </w:tc>
        <w:tc>
          <w:tcPr>
            <w:tcW w:w="0" w:type="auto"/>
            <w:shd w:val="clear" w:color="000000" w:fill="1F4E78"/>
            <w:vAlign w:val="center"/>
            <w:hideMark/>
          </w:tcPr>
          <w:p w14:paraId="28B1075F" w14:textId="77777777" w:rsidR="00EE2C68" w:rsidRPr="00102B7D" w:rsidRDefault="00EE2C68" w:rsidP="00AD52FD">
            <w:pPr>
              <w:spacing w:after="0" w:line="240" w:lineRule="auto"/>
              <w:jc w:val="center"/>
              <w:rPr>
                <w:rFonts w:ascii="Calibri" w:eastAsia="Times New Roman" w:hAnsi="Calibri" w:cs="Times New Roman"/>
                <w:b/>
                <w:bCs/>
                <w:color w:val="F2F2F2"/>
                <w:sz w:val="20"/>
                <w:szCs w:val="20"/>
                <w:lang w:eastAsia="es-GT"/>
              </w:rPr>
            </w:pPr>
            <w:r w:rsidRPr="00102B7D">
              <w:rPr>
                <w:rFonts w:ascii="Calibri" w:eastAsia="Times New Roman" w:hAnsi="Calibri" w:cs="Times New Roman"/>
                <w:b/>
                <w:bCs/>
                <w:color w:val="F2F2F2"/>
                <w:sz w:val="20"/>
                <w:szCs w:val="20"/>
                <w:lang w:eastAsia="es-GT"/>
              </w:rPr>
              <w:t>Vigente</w:t>
            </w:r>
          </w:p>
        </w:tc>
        <w:tc>
          <w:tcPr>
            <w:tcW w:w="0" w:type="auto"/>
            <w:shd w:val="clear" w:color="000000" w:fill="1F4E78"/>
            <w:vAlign w:val="center"/>
            <w:hideMark/>
          </w:tcPr>
          <w:p w14:paraId="2A749AE9" w14:textId="77777777" w:rsidR="00EE2C68" w:rsidRPr="00102B7D" w:rsidRDefault="00EE2C68" w:rsidP="00AD52FD">
            <w:pPr>
              <w:spacing w:after="0" w:line="240" w:lineRule="auto"/>
              <w:jc w:val="center"/>
              <w:rPr>
                <w:rFonts w:ascii="Calibri" w:eastAsia="Times New Roman" w:hAnsi="Calibri" w:cs="Times New Roman"/>
                <w:b/>
                <w:bCs/>
                <w:color w:val="F2F2F2"/>
                <w:sz w:val="20"/>
                <w:szCs w:val="20"/>
                <w:lang w:eastAsia="es-GT"/>
              </w:rPr>
            </w:pPr>
            <w:r w:rsidRPr="00102B7D">
              <w:rPr>
                <w:rFonts w:ascii="Calibri" w:eastAsia="Times New Roman" w:hAnsi="Calibri" w:cs="Times New Roman"/>
                <w:b/>
                <w:bCs/>
                <w:color w:val="F2F2F2"/>
                <w:sz w:val="20"/>
                <w:szCs w:val="20"/>
                <w:lang w:eastAsia="es-GT"/>
              </w:rPr>
              <w:t>Devengado</w:t>
            </w:r>
          </w:p>
        </w:tc>
        <w:tc>
          <w:tcPr>
            <w:tcW w:w="0" w:type="auto"/>
            <w:shd w:val="clear" w:color="000000" w:fill="1F4E78"/>
            <w:vAlign w:val="center"/>
            <w:hideMark/>
          </w:tcPr>
          <w:p w14:paraId="5667967D" w14:textId="77777777" w:rsidR="00EE2C68" w:rsidRPr="00102B7D" w:rsidRDefault="00EE2C68" w:rsidP="00AD52FD">
            <w:pPr>
              <w:spacing w:after="0" w:line="240" w:lineRule="auto"/>
              <w:jc w:val="center"/>
              <w:rPr>
                <w:rFonts w:ascii="Calibri" w:eastAsia="Times New Roman" w:hAnsi="Calibri" w:cs="Times New Roman"/>
                <w:b/>
                <w:bCs/>
                <w:color w:val="F2F2F2"/>
                <w:sz w:val="20"/>
                <w:szCs w:val="20"/>
                <w:lang w:eastAsia="es-GT"/>
              </w:rPr>
            </w:pPr>
            <w:r w:rsidRPr="00102B7D">
              <w:rPr>
                <w:rFonts w:ascii="Calibri" w:eastAsia="Times New Roman" w:hAnsi="Calibri" w:cs="Times New Roman"/>
                <w:b/>
                <w:bCs/>
                <w:color w:val="F2F2F2"/>
                <w:sz w:val="20"/>
                <w:szCs w:val="20"/>
                <w:lang w:eastAsia="es-GT"/>
              </w:rPr>
              <w:t>% Ejecución</w:t>
            </w:r>
          </w:p>
        </w:tc>
      </w:tr>
      <w:tr w:rsidR="00EE2C68" w:rsidRPr="00102B7D" w14:paraId="589CFB69" w14:textId="77777777" w:rsidTr="00ED73AF">
        <w:trPr>
          <w:trHeight w:val="655"/>
        </w:trPr>
        <w:tc>
          <w:tcPr>
            <w:tcW w:w="0" w:type="auto"/>
            <w:shd w:val="clear" w:color="000000" w:fill="BDD7EE"/>
            <w:vAlign w:val="center"/>
            <w:hideMark/>
          </w:tcPr>
          <w:p w14:paraId="620DC0EB" w14:textId="2C73719F" w:rsidR="00EE2C68" w:rsidRPr="00102B7D" w:rsidRDefault="00EE2C68" w:rsidP="00AD52FD">
            <w:pPr>
              <w:spacing w:after="0" w:line="240" w:lineRule="auto"/>
              <w:rPr>
                <w:rFonts w:ascii="Calibri" w:eastAsia="Times New Roman" w:hAnsi="Calibri" w:cs="Times New Roman"/>
                <w:color w:val="000000"/>
                <w:sz w:val="20"/>
                <w:szCs w:val="20"/>
                <w:lang w:eastAsia="es-GT"/>
              </w:rPr>
            </w:pPr>
            <w:r w:rsidRPr="00102B7D">
              <w:rPr>
                <w:rFonts w:ascii="Calibri" w:eastAsia="Times New Roman" w:hAnsi="Calibri" w:cs="Times New Roman"/>
                <w:color w:val="000000"/>
                <w:sz w:val="20"/>
                <w:szCs w:val="20"/>
                <w:lang w:eastAsia="es-GT"/>
              </w:rPr>
              <w:t>Exclusivas Mujeres</w:t>
            </w:r>
            <w:r>
              <w:rPr>
                <w:rFonts w:ascii="Calibri" w:eastAsia="Times New Roman" w:hAnsi="Calibri" w:cs="Times New Roman"/>
                <w:color w:val="000000"/>
                <w:sz w:val="20"/>
                <w:szCs w:val="20"/>
                <w:lang w:eastAsia="es-GT"/>
              </w:rPr>
              <w:t xml:space="preserve"> (código 1)</w:t>
            </w:r>
          </w:p>
        </w:tc>
        <w:tc>
          <w:tcPr>
            <w:tcW w:w="0" w:type="auto"/>
            <w:shd w:val="clear" w:color="000000" w:fill="BDD7EE"/>
            <w:noWrap/>
            <w:vAlign w:val="center"/>
            <w:hideMark/>
          </w:tcPr>
          <w:p w14:paraId="44AEE571" w14:textId="77777777" w:rsidR="00EE2C68" w:rsidRPr="00102B7D" w:rsidRDefault="00EE2C68" w:rsidP="00AD52FD">
            <w:pPr>
              <w:spacing w:after="0" w:line="240" w:lineRule="auto"/>
              <w:jc w:val="right"/>
              <w:rPr>
                <w:rFonts w:ascii="Calibri" w:eastAsia="Times New Roman" w:hAnsi="Calibri" w:cs="Times New Roman"/>
                <w:color w:val="000000"/>
                <w:sz w:val="20"/>
                <w:szCs w:val="20"/>
                <w:lang w:eastAsia="es-GT"/>
              </w:rPr>
            </w:pPr>
            <w:r w:rsidRPr="00102B7D">
              <w:rPr>
                <w:rFonts w:ascii="Calibri" w:eastAsia="Times New Roman" w:hAnsi="Calibri" w:cs="Times New Roman"/>
                <w:color w:val="000000"/>
                <w:sz w:val="20"/>
                <w:szCs w:val="20"/>
                <w:lang w:eastAsia="es-GT"/>
              </w:rPr>
              <w:t xml:space="preserve"> Q                4,382,281 </w:t>
            </w:r>
          </w:p>
        </w:tc>
        <w:tc>
          <w:tcPr>
            <w:tcW w:w="0" w:type="auto"/>
            <w:shd w:val="clear" w:color="000000" w:fill="BDD7EE"/>
            <w:noWrap/>
            <w:vAlign w:val="center"/>
            <w:hideMark/>
          </w:tcPr>
          <w:p w14:paraId="04A4F360" w14:textId="77777777" w:rsidR="00EE2C68" w:rsidRPr="00102B7D" w:rsidRDefault="00EE2C68" w:rsidP="00AD52FD">
            <w:pPr>
              <w:spacing w:after="0" w:line="240" w:lineRule="auto"/>
              <w:jc w:val="right"/>
              <w:rPr>
                <w:rFonts w:ascii="Calibri" w:eastAsia="Times New Roman" w:hAnsi="Calibri" w:cs="Times New Roman"/>
                <w:color w:val="000000"/>
                <w:sz w:val="20"/>
                <w:szCs w:val="20"/>
                <w:lang w:eastAsia="es-GT"/>
              </w:rPr>
            </w:pPr>
            <w:r w:rsidRPr="00102B7D">
              <w:rPr>
                <w:rFonts w:ascii="Calibri" w:eastAsia="Times New Roman" w:hAnsi="Calibri" w:cs="Times New Roman"/>
                <w:color w:val="000000"/>
                <w:sz w:val="20"/>
                <w:szCs w:val="20"/>
                <w:lang w:eastAsia="es-GT"/>
              </w:rPr>
              <w:t xml:space="preserve"> Q                5,826,967 </w:t>
            </w:r>
          </w:p>
        </w:tc>
        <w:tc>
          <w:tcPr>
            <w:tcW w:w="0" w:type="auto"/>
            <w:shd w:val="clear" w:color="000000" w:fill="BDD7EE"/>
            <w:noWrap/>
            <w:vAlign w:val="center"/>
            <w:hideMark/>
          </w:tcPr>
          <w:p w14:paraId="47195CC0" w14:textId="77777777" w:rsidR="00EE2C68" w:rsidRPr="00102B7D" w:rsidRDefault="00EE2C68" w:rsidP="00AD52FD">
            <w:pPr>
              <w:spacing w:after="0" w:line="240" w:lineRule="auto"/>
              <w:jc w:val="right"/>
              <w:rPr>
                <w:rFonts w:ascii="Calibri" w:eastAsia="Times New Roman" w:hAnsi="Calibri" w:cs="Times New Roman"/>
                <w:color w:val="000000"/>
                <w:sz w:val="20"/>
                <w:szCs w:val="20"/>
                <w:lang w:eastAsia="es-GT"/>
              </w:rPr>
            </w:pPr>
            <w:r w:rsidRPr="00102B7D">
              <w:rPr>
                <w:rFonts w:ascii="Calibri" w:eastAsia="Times New Roman" w:hAnsi="Calibri" w:cs="Times New Roman"/>
                <w:color w:val="000000"/>
                <w:sz w:val="20"/>
                <w:szCs w:val="20"/>
                <w:lang w:eastAsia="es-GT"/>
              </w:rPr>
              <w:t xml:space="preserve"> Q                2,372,468 </w:t>
            </w:r>
          </w:p>
        </w:tc>
        <w:tc>
          <w:tcPr>
            <w:tcW w:w="0" w:type="auto"/>
            <w:shd w:val="clear" w:color="000000" w:fill="BDD7EE"/>
            <w:noWrap/>
            <w:vAlign w:val="center"/>
            <w:hideMark/>
          </w:tcPr>
          <w:p w14:paraId="33081867" w14:textId="77777777" w:rsidR="00EE2C68" w:rsidRPr="00102B7D" w:rsidRDefault="00EE2C68" w:rsidP="00AD52FD">
            <w:pPr>
              <w:spacing w:after="0" w:line="240" w:lineRule="auto"/>
              <w:jc w:val="center"/>
              <w:rPr>
                <w:rFonts w:ascii="Calibri" w:eastAsia="Times New Roman" w:hAnsi="Calibri" w:cs="Times New Roman"/>
                <w:b/>
                <w:bCs/>
                <w:color w:val="000000"/>
                <w:sz w:val="20"/>
                <w:szCs w:val="20"/>
                <w:lang w:eastAsia="es-GT"/>
              </w:rPr>
            </w:pPr>
            <w:r w:rsidRPr="00102B7D">
              <w:rPr>
                <w:rFonts w:ascii="Calibri" w:eastAsia="Times New Roman" w:hAnsi="Calibri" w:cs="Times New Roman"/>
                <w:b/>
                <w:bCs/>
                <w:color w:val="000000"/>
                <w:sz w:val="20"/>
                <w:szCs w:val="20"/>
                <w:lang w:eastAsia="es-GT"/>
              </w:rPr>
              <w:t>41%</w:t>
            </w:r>
          </w:p>
        </w:tc>
      </w:tr>
      <w:tr w:rsidR="00EE2C68" w:rsidRPr="00102B7D" w14:paraId="7FB20F6C" w14:textId="77777777" w:rsidTr="00ED73AF">
        <w:trPr>
          <w:trHeight w:val="779"/>
        </w:trPr>
        <w:tc>
          <w:tcPr>
            <w:tcW w:w="0" w:type="auto"/>
            <w:shd w:val="clear" w:color="auto" w:fill="auto"/>
            <w:vAlign w:val="center"/>
            <w:hideMark/>
          </w:tcPr>
          <w:p w14:paraId="1965DCBD" w14:textId="75880C51" w:rsidR="00EE2C68" w:rsidRPr="00102B7D" w:rsidRDefault="00EE2C68" w:rsidP="00AD52FD">
            <w:pPr>
              <w:spacing w:after="0" w:line="240" w:lineRule="auto"/>
              <w:rPr>
                <w:rFonts w:ascii="Calibri" w:eastAsia="Times New Roman" w:hAnsi="Calibri" w:cs="Times New Roman"/>
                <w:color w:val="000000"/>
                <w:sz w:val="20"/>
                <w:szCs w:val="20"/>
                <w:lang w:eastAsia="es-GT"/>
              </w:rPr>
            </w:pPr>
            <w:r w:rsidRPr="00102B7D">
              <w:rPr>
                <w:rFonts w:ascii="Calibri" w:eastAsia="Times New Roman" w:hAnsi="Calibri" w:cs="Times New Roman"/>
                <w:color w:val="000000"/>
                <w:sz w:val="20"/>
                <w:szCs w:val="20"/>
                <w:lang w:eastAsia="es-GT"/>
              </w:rPr>
              <w:t>Familias o Grupos Sociales con Énfasis en Mujeres</w:t>
            </w:r>
            <w:r>
              <w:rPr>
                <w:rFonts w:ascii="Calibri" w:eastAsia="Times New Roman" w:hAnsi="Calibri" w:cs="Times New Roman"/>
                <w:color w:val="000000"/>
                <w:sz w:val="20"/>
                <w:szCs w:val="20"/>
                <w:lang w:eastAsia="es-GT"/>
              </w:rPr>
              <w:t xml:space="preserve"> (código 2)</w:t>
            </w:r>
          </w:p>
        </w:tc>
        <w:tc>
          <w:tcPr>
            <w:tcW w:w="0" w:type="auto"/>
            <w:shd w:val="clear" w:color="auto" w:fill="auto"/>
            <w:noWrap/>
            <w:vAlign w:val="center"/>
            <w:hideMark/>
          </w:tcPr>
          <w:p w14:paraId="73D20038" w14:textId="77777777" w:rsidR="00EE2C68" w:rsidRPr="00102B7D" w:rsidRDefault="00EE2C68" w:rsidP="00AD52FD">
            <w:pPr>
              <w:spacing w:after="0" w:line="240" w:lineRule="auto"/>
              <w:jc w:val="right"/>
              <w:rPr>
                <w:rFonts w:ascii="Calibri" w:eastAsia="Times New Roman" w:hAnsi="Calibri" w:cs="Times New Roman"/>
                <w:color w:val="000000"/>
                <w:sz w:val="20"/>
                <w:szCs w:val="20"/>
                <w:lang w:eastAsia="es-GT"/>
              </w:rPr>
            </w:pPr>
            <w:r w:rsidRPr="00102B7D">
              <w:rPr>
                <w:rFonts w:ascii="Calibri" w:eastAsia="Times New Roman" w:hAnsi="Calibri" w:cs="Times New Roman"/>
                <w:color w:val="000000"/>
                <w:sz w:val="20"/>
                <w:szCs w:val="20"/>
                <w:lang w:eastAsia="es-GT"/>
              </w:rPr>
              <w:t xml:space="preserve"> Q        1,546,301,483 </w:t>
            </w:r>
          </w:p>
        </w:tc>
        <w:tc>
          <w:tcPr>
            <w:tcW w:w="0" w:type="auto"/>
            <w:shd w:val="clear" w:color="auto" w:fill="auto"/>
            <w:noWrap/>
            <w:vAlign w:val="center"/>
            <w:hideMark/>
          </w:tcPr>
          <w:p w14:paraId="5A5F6212" w14:textId="77777777" w:rsidR="00EE2C68" w:rsidRPr="00102B7D" w:rsidRDefault="00EE2C68" w:rsidP="00AD52FD">
            <w:pPr>
              <w:spacing w:after="0" w:line="240" w:lineRule="auto"/>
              <w:jc w:val="right"/>
              <w:rPr>
                <w:rFonts w:ascii="Calibri" w:eastAsia="Times New Roman" w:hAnsi="Calibri" w:cs="Times New Roman"/>
                <w:color w:val="000000"/>
                <w:sz w:val="20"/>
                <w:szCs w:val="20"/>
                <w:lang w:eastAsia="es-GT"/>
              </w:rPr>
            </w:pPr>
            <w:r w:rsidRPr="00102B7D">
              <w:rPr>
                <w:rFonts w:ascii="Calibri" w:eastAsia="Times New Roman" w:hAnsi="Calibri" w:cs="Times New Roman"/>
                <w:color w:val="000000"/>
                <w:sz w:val="20"/>
                <w:szCs w:val="20"/>
                <w:lang w:eastAsia="es-GT"/>
              </w:rPr>
              <w:t xml:space="preserve"> Q        2,031,834,334 </w:t>
            </w:r>
          </w:p>
        </w:tc>
        <w:tc>
          <w:tcPr>
            <w:tcW w:w="0" w:type="auto"/>
            <w:shd w:val="clear" w:color="auto" w:fill="auto"/>
            <w:noWrap/>
            <w:vAlign w:val="center"/>
            <w:hideMark/>
          </w:tcPr>
          <w:p w14:paraId="184244F4" w14:textId="77777777" w:rsidR="00EE2C68" w:rsidRPr="00102B7D" w:rsidRDefault="00EE2C68" w:rsidP="00AD52FD">
            <w:pPr>
              <w:spacing w:after="0" w:line="240" w:lineRule="auto"/>
              <w:jc w:val="right"/>
              <w:rPr>
                <w:rFonts w:ascii="Calibri" w:eastAsia="Times New Roman" w:hAnsi="Calibri" w:cs="Times New Roman"/>
                <w:color w:val="000000"/>
                <w:sz w:val="20"/>
                <w:szCs w:val="20"/>
                <w:lang w:eastAsia="es-GT"/>
              </w:rPr>
            </w:pPr>
            <w:r w:rsidRPr="00102B7D">
              <w:rPr>
                <w:rFonts w:ascii="Calibri" w:eastAsia="Times New Roman" w:hAnsi="Calibri" w:cs="Times New Roman"/>
                <w:color w:val="000000"/>
                <w:sz w:val="20"/>
                <w:szCs w:val="20"/>
                <w:lang w:eastAsia="es-GT"/>
              </w:rPr>
              <w:t xml:space="preserve"> Q            725,625,949 </w:t>
            </w:r>
          </w:p>
        </w:tc>
        <w:tc>
          <w:tcPr>
            <w:tcW w:w="0" w:type="auto"/>
            <w:shd w:val="clear" w:color="auto" w:fill="auto"/>
            <w:noWrap/>
            <w:vAlign w:val="center"/>
            <w:hideMark/>
          </w:tcPr>
          <w:p w14:paraId="415BF425" w14:textId="77777777" w:rsidR="00EE2C68" w:rsidRPr="00102B7D" w:rsidRDefault="00EE2C68" w:rsidP="00AD52FD">
            <w:pPr>
              <w:spacing w:after="0" w:line="240" w:lineRule="auto"/>
              <w:jc w:val="center"/>
              <w:rPr>
                <w:rFonts w:ascii="Calibri" w:eastAsia="Times New Roman" w:hAnsi="Calibri" w:cs="Times New Roman"/>
                <w:b/>
                <w:bCs/>
                <w:color w:val="000000"/>
                <w:sz w:val="20"/>
                <w:szCs w:val="20"/>
                <w:lang w:eastAsia="es-GT"/>
              </w:rPr>
            </w:pPr>
            <w:r w:rsidRPr="00102B7D">
              <w:rPr>
                <w:rFonts w:ascii="Calibri" w:eastAsia="Times New Roman" w:hAnsi="Calibri" w:cs="Times New Roman"/>
                <w:b/>
                <w:bCs/>
                <w:color w:val="000000"/>
                <w:sz w:val="20"/>
                <w:szCs w:val="20"/>
                <w:lang w:eastAsia="es-GT"/>
              </w:rPr>
              <w:t>36%</w:t>
            </w:r>
          </w:p>
        </w:tc>
      </w:tr>
      <w:tr w:rsidR="00EE2C68" w:rsidRPr="00102B7D" w14:paraId="6E1A58A5" w14:textId="77777777" w:rsidTr="00CB6001">
        <w:trPr>
          <w:trHeight w:val="630"/>
        </w:trPr>
        <w:tc>
          <w:tcPr>
            <w:tcW w:w="0" w:type="auto"/>
            <w:shd w:val="clear" w:color="000000" w:fill="BDD7EE"/>
            <w:vAlign w:val="center"/>
            <w:hideMark/>
          </w:tcPr>
          <w:p w14:paraId="6D069639" w14:textId="77777777" w:rsidR="00EE2C68" w:rsidRPr="00102B7D" w:rsidRDefault="00EE2C68" w:rsidP="00AD52FD">
            <w:pPr>
              <w:spacing w:after="0" w:line="240" w:lineRule="auto"/>
              <w:rPr>
                <w:rFonts w:ascii="Calibri" w:eastAsia="Times New Roman" w:hAnsi="Calibri" w:cs="Times New Roman"/>
                <w:b/>
                <w:bCs/>
                <w:color w:val="000000"/>
                <w:sz w:val="20"/>
                <w:szCs w:val="20"/>
                <w:lang w:eastAsia="es-GT"/>
              </w:rPr>
            </w:pPr>
            <w:r w:rsidRPr="00102B7D">
              <w:rPr>
                <w:rFonts w:ascii="Calibri" w:eastAsia="Times New Roman" w:hAnsi="Calibri" w:cs="Times New Roman"/>
                <w:b/>
                <w:bCs/>
                <w:color w:val="000000"/>
                <w:sz w:val="20"/>
                <w:szCs w:val="20"/>
                <w:lang w:eastAsia="es-GT"/>
              </w:rPr>
              <w:t>Total</w:t>
            </w:r>
          </w:p>
        </w:tc>
        <w:tc>
          <w:tcPr>
            <w:tcW w:w="0" w:type="auto"/>
            <w:shd w:val="clear" w:color="000000" w:fill="BDD7EE"/>
            <w:noWrap/>
            <w:vAlign w:val="center"/>
            <w:hideMark/>
          </w:tcPr>
          <w:p w14:paraId="30BDE971" w14:textId="77777777" w:rsidR="00EE2C68" w:rsidRPr="00102B7D" w:rsidRDefault="00EE2C68" w:rsidP="00AD52FD">
            <w:pPr>
              <w:spacing w:after="0" w:line="240" w:lineRule="auto"/>
              <w:jc w:val="right"/>
              <w:rPr>
                <w:rFonts w:ascii="Calibri" w:eastAsia="Times New Roman" w:hAnsi="Calibri" w:cs="Times New Roman"/>
                <w:b/>
                <w:bCs/>
                <w:color w:val="000000"/>
                <w:sz w:val="20"/>
                <w:szCs w:val="20"/>
                <w:lang w:eastAsia="es-GT"/>
              </w:rPr>
            </w:pPr>
            <w:r w:rsidRPr="00102B7D">
              <w:rPr>
                <w:rFonts w:ascii="Calibri" w:eastAsia="Times New Roman" w:hAnsi="Calibri" w:cs="Times New Roman"/>
                <w:b/>
                <w:bCs/>
                <w:color w:val="000000"/>
                <w:sz w:val="20"/>
                <w:szCs w:val="20"/>
                <w:lang w:eastAsia="es-GT"/>
              </w:rPr>
              <w:t xml:space="preserve"> Q        1,550,683,764 </w:t>
            </w:r>
          </w:p>
        </w:tc>
        <w:tc>
          <w:tcPr>
            <w:tcW w:w="0" w:type="auto"/>
            <w:shd w:val="clear" w:color="000000" w:fill="BDD7EE"/>
            <w:noWrap/>
            <w:vAlign w:val="center"/>
            <w:hideMark/>
          </w:tcPr>
          <w:p w14:paraId="00B15AB6" w14:textId="77777777" w:rsidR="00EE2C68" w:rsidRPr="00102B7D" w:rsidRDefault="00EE2C68" w:rsidP="00AD52FD">
            <w:pPr>
              <w:spacing w:after="0" w:line="240" w:lineRule="auto"/>
              <w:jc w:val="right"/>
              <w:rPr>
                <w:rFonts w:ascii="Calibri" w:eastAsia="Times New Roman" w:hAnsi="Calibri" w:cs="Times New Roman"/>
                <w:b/>
                <w:bCs/>
                <w:color w:val="000000"/>
                <w:sz w:val="20"/>
                <w:szCs w:val="20"/>
                <w:lang w:eastAsia="es-GT"/>
              </w:rPr>
            </w:pPr>
            <w:r w:rsidRPr="00102B7D">
              <w:rPr>
                <w:rFonts w:ascii="Calibri" w:eastAsia="Times New Roman" w:hAnsi="Calibri" w:cs="Times New Roman"/>
                <w:b/>
                <w:bCs/>
                <w:color w:val="000000"/>
                <w:sz w:val="20"/>
                <w:szCs w:val="20"/>
                <w:lang w:eastAsia="es-GT"/>
              </w:rPr>
              <w:t xml:space="preserve"> Q        2,037,661,300 </w:t>
            </w:r>
          </w:p>
        </w:tc>
        <w:tc>
          <w:tcPr>
            <w:tcW w:w="0" w:type="auto"/>
            <w:shd w:val="clear" w:color="000000" w:fill="BDD7EE"/>
            <w:noWrap/>
            <w:vAlign w:val="center"/>
            <w:hideMark/>
          </w:tcPr>
          <w:p w14:paraId="2EF1B69C" w14:textId="77777777" w:rsidR="00EE2C68" w:rsidRPr="00102B7D" w:rsidRDefault="00EE2C68" w:rsidP="00AD52FD">
            <w:pPr>
              <w:spacing w:after="0" w:line="240" w:lineRule="auto"/>
              <w:jc w:val="right"/>
              <w:rPr>
                <w:rFonts w:ascii="Calibri" w:eastAsia="Times New Roman" w:hAnsi="Calibri" w:cs="Times New Roman"/>
                <w:b/>
                <w:bCs/>
                <w:color w:val="000000"/>
                <w:sz w:val="20"/>
                <w:szCs w:val="20"/>
                <w:lang w:eastAsia="es-GT"/>
              </w:rPr>
            </w:pPr>
            <w:r w:rsidRPr="00102B7D">
              <w:rPr>
                <w:rFonts w:ascii="Calibri" w:eastAsia="Times New Roman" w:hAnsi="Calibri" w:cs="Times New Roman"/>
                <w:b/>
                <w:bCs/>
                <w:color w:val="000000"/>
                <w:sz w:val="20"/>
                <w:szCs w:val="20"/>
                <w:lang w:eastAsia="es-GT"/>
              </w:rPr>
              <w:t xml:space="preserve"> Q            727,998,417 </w:t>
            </w:r>
          </w:p>
        </w:tc>
        <w:tc>
          <w:tcPr>
            <w:tcW w:w="0" w:type="auto"/>
            <w:shd w:val="clear" w:color="000000" w:fill="BDD7EE"/>
            <w:noWrap/>
            <w:vAlign w:val="center"/>
            <w:hideMark/>
          </w:tcPr>
          <w:p w14:paraId="09F744E2" w14:textId="77777777" w:rsidR="00EE2C68" w:rsidRPr="00102B7D" w:rsidRDefault="00EE2C68" w:rsidP="00AD52FD">
            <w:pPr>
              <w:spacing w:after="0" w:line="240" w:lineRule="auto"/>
              <w:jc w:val="center"/>
              <w:rPr>
                <w:rFonts w:ascii="Calibri" w:eastAsia="Times New Roman" w:hAnsi="Calibri" w:cs="Times New Roman"/>
                <w:b/>
                <w:bCs/>
                <w:color w:val="000000"/>
                <w:sz w:val="20"/>
                <w:szCs w:val="20"/>
                <w:lang w:eastAsia="es-GT"/>
              </w:rPr>
            </w:pPr>
            <w:r w:rsidRPr="00102B7D">
              <w:rPr>
                <w:rFonts w:ascii="Calibri" w:eastAsia="Times New Roman" w:hAnsi="Calibri" w:cs="Times New Roman"/>
                <w:b/>
                <w:bCs/>
                <w:color w:val="000000"/>
                <w:sz w:val="20"/>
                <w:szCs w:val="20"/>
                <w:lang w:eastAsia="es-GT"/>
              </w:rPr>
              <w:t>38%</w:t>
            </w:r>
          </w:p>
        </w:tc>
      </w:tr>
    </w:tbl>
    <w:p w14:paraId="33FC2D1A" w14:textId="30ABBCBE" w:rsidR="000E28EF" w:rsidRDefault="00387A2F" w:rsidP="000B7170">
      <w:pPr>
        <w:tabs>
          <w:tab w:val="left" w:pos="2190"/>
        </w:tabs>
        <w:spacing w:after="0" w:line="360" w:lineRule="auto"/>
        <w:rPr>
          <w:color w:val="231F20"/>
          <w:sz w:val="18"/>
          <w:szCs w:val="18"/>
        </w:rPr>
      </w:pPr>
      <w:r w:rsidRPr="00387A2F">
        <w:rPr>
          <w:color w:val="231F20"/>
          <w:sz w:val="18"/>
          <w:szCs w:val="18"/>
        </w:rPr>
        <w:t xml:space="preserve">Fuente: Sistema de Contabilidad Integrada (SICOIN), </w:t>
      </w:r>
      <w:r w:rsidR="005352B7">
        <w:rPr>
          <w:color w:val="231F20"/>
          <w:sz w:val="18"/>
          <w:szCs w:val="18"/>
        </w:rPr>
        <w:t>del 1 de enero al 30 de junio</w:t>
      </w:r>
      <w:r w:rsidR="005352B7" w:rsidRPr="00387A2F">
        <w:rPr>
          <w:color w:val="231F20"/>
          <w:sz w:val="18"/>
          <w:szCs w:val="18"/>
        </w:rPr>
        <w:t xml:space="preserve"> del 2021</w:t>
      </w:r>
    </w:p>
    <w:p w14:paraId="24503FCA" w14:textId="77777777" w:rsidR="00387A2F" w:rsidRDefault="00387A2F" w:rsidP="000B7170">
      <w:pPr>
        <w:tabs>
          <w:tab w:val="left" w:pos="2190"/>
        </w:tabs>
        <w:spacing w:after="0" w:line="360" w:lineRule="auto"/>
        <w:rPr>
          <w:rFonts w:ascii="Calibri" w:eastAsia="Times New Roman" w:hAnsi="Calibri" w:cs="Times New Roman"/>
          <w:color w:val="000000"/>
          <w:lang w:eastAsia="es-GT"/>
        </w:rPr>
      </w:pPr>
    </w:p>
    <w:p w14:paraId="5957435E" w14:textId="530428D8" w:rsidR="00F946A5" w:rsidRDefault="00F946A5" w:rsidP="00B90F23">
      <w:pPr>
        <w:tabs>
          <w:tab w:val="left" w:pos="3450"/>
        </w:tabs>
        <w:spacing w:after="0" w:line="360" w:lineRule="auto"/>
        <w:jc w:val="both"/>
        <w:rPr>
          <w:bCs/>
        </w:rPr>
      </w:pPr>
      <w:r>
        <w:rPr>
          <w:bCs/>
        </w:rPr>
        <w:t xml:space="preserve">Durante el primer semestre del 2021 las instituciones descentralizadas realizaron reporte presupuestario al CPEG a 9 ejes de la PNPDIM, en primer </w:t>
      </w:r>
      <w:r w:rsidR="002C06CE">
        <w:rPr>
          <w:bCs/>
        </w:rPr>
        <w:t>lugar,</w:t>
      </w:r>
      <w:r>
        <w:rPr>
          <w:bCs/>
        </w:rPr>
        <w:t xml:space="preserve"> al eje de violencia contra las mujeres en el cual se evidencia una mayor asignación presupuestaria, aportando un </w:t>
      </w:r>
      <w:r w:rsidR="003D7346">
        <w:rPr>
          <w:bCs/>
        </w:rPr>
        <w:t xml:space="preserve">41% </w:t>
      </w:r>
      <w:r>
        <w:rPr>
          <w:bCs/>
        </w:rPr>
        <w:t xml:space="preserve">en el presupuesto </w:t>
      </w:r>
      <w:r w:rsidR="003D7346">
        <w:rPr>
          <w:bCs/>
        </w:rPr>
        <w:t>ejecutado</w:t>
      </w:r>
      <w:r>
        <w:rPr>
          <w:bCs/>
        </w:rPr>
        <w:t xml:space="preserve">. </w:t>
      </w:r>
    </w:p>
    <w:p w14:paraId="221A1680" w14:textId="77777777" w:rsidR="00F946A5" w:rsidRDefault="00F946A5" w:rsidP="00B90F23">
      <w:pPr>
        <w:tabs>
          <w:tab w:val="left" w:pos="3450"/>
        </w:tabs>
        <w:spacing w:after="0" w:line="360" w:lineRule="auto"/>
        <w:jc w:val="both"/>
        <w:rPr>
          <w:bCs/>
        </w:rPr>
      </w:pPr>
    </w:p>
    <w:p w14:paraId="0EF9EAB9" w14:textId="447871D7" w:rsidR="006A58BC" w:rsidRDefault="00F946A5" w:rsidP="00B90F23">
      <w:pPr>
        <w:tabs>
          <w:tab w:val="left" w:pos="3450"/>
        </w:tabs>
        <w:spacing w:after="0" w:line="360" w:lineRule="auto"/>
        <w:jc w:val="both"/>
        <w:rPr>
          <w:bCs/>
        </w:rPr>
      </w:pPr>
      <w:r>
        <w:rPr>
          <w:bCs/>
        </w:rPr>
        <w:t xml:space="preserve">En segundo </w:t>
      </w:r>
      <w:proofErr w:type="gramStart"/>
      <w:r w:rsidR="00C47CB2">
        <w:rPr>
          <w:bCs/>
        </w:rPr>
        <w:t>lugar</w:t>
      </w:r>
      <w:proofErr w:type="gramEnd"/>
      <w:r w:rsidR="00C47CB2">
        <w:rPr>
          <w:bCs/>
        </w:rPr>
        <w:t xml:space="preserve"> </w:t>
      </w:r>
      <w:r w:rsidR="004625B3">
        <w:rPr>
          <w:bCs/>
        </w:rPr>
        <w:t>de presupuesto vigente</w:t>
      </w:r>
      <w:r w:rsidR="00C47CB2">
        <w:rPr>
          <w:bCs/>
        </w:rPr>
        <w:t>,</w:t>
      </w:r>
      <w:r w:rsidR="004625B3">
        <w:rPr>
          <w:bCs/>
        </w:rPr>
        <w:t xml:space="preserve"> corresponde </w:t>
      </w:r>
      <w:r>
        <w:rPr>
          <w:bCs/>
        </w:rPr>
        <w:t>al eje de equidad laboral con un</w:t>
      </w:r>
      <w:r w:rsidR="006A58BC">
        <w:rPr>
          <w:bCs/>
        </w:rPr>
        <w:t xml:space="preserve"> </w:t>
      </w:r>
      <w:r w:rsidR="004625B3">
        <w:rPr>
          <w:bCs/>
        </w:rPr>
        <w:t>37</w:t>
      </w:r>
      <w:r w:rsidR="006A58BC">
        <w:rPr>
          <w:bCs/>
        </w:rPr>
        <w:t xml:space="preserve">% en el presupuesto ejecutado. </w:t>
      </w:r>
    </w:p>
    <w:p w14:paraId="518307A3" w14:textId="77777777" w:rsidR="006A58BC" w:rsidRDefault="006A58BC" w:rsidP="00B90F23">
      <w:pPr>
        <w:tabs>
          <w:tab w:val="left" w:pos="3450"/>
        </w:tabs>
        <w:spacing w:after="0" w:line="360" w:lineRule="auto"/>
        <w:jc w:val="both"/>
        <w:rPr>
          <w:bCs/>
        </w:rPr>
      </w:pPr>
    </w:p>
    <w:p w14:paraId="5DDDF3D5" w14:textId="257D2437" w:rsidR="00F946A5" w:rsidRDefault="006A58BC" w:rsidP="00B90F23">
      <w:pPr>
        <w:tabs>
          <w:tab w:val="left" w:pos="3450"/>
        </w:tabs>
        <w:spacing w:after="0" w:line="360" w:lineRule="auto"/>
        <w:jc w:val="both"/>
        <w:rPr>
          <w:bCs/>
        </w:rPr>
      </w:pPr>
      <w:r>
        <w:rPr>
          <w:bCs/>
        </w:rPr>
        <w:t xml:space="preserve">Las instituciones descentralizadas tal como se puede ver en la tabla número 7, no etiquetaron presupuesto a los ejes </w:t>
      </w:r>
      <w:proofErr w:type="gramStart"/>
      <w:r>
        <w:rPr>
          <w:bCs/>
        </w:rPr>
        <w:t>de  mecanismos</w:t>
      </w:r>
      <w:proofErr w:type="gramEnd"/>
      <w:r>
        <w:rPr>
          <w:bCs/>
        </w:rPr>
        <w:t xml:space="preserve"> institucionales, racismo y discriminación e identidad cultural, la distribución de los recursos destinados a los diferentes ejes, denota la importancia temática que las instituciones descentralizadas realizan para la implementación de la PNPDIM. </w:t>
      </w:r>
    </w:p>
    <w:p w14:paraId="4CE30EBF" w14:textId="77777777" w:rsidR="006A58BC" w:rsidRDefault="006A58BC" w:rsidP="00B90F23">
      <w:pPr>
        <w:tabs>
          <w:tab w:val="left" w:pos="3450"/>
        </w:tabs>
        <w:spacing w:after="0" w:line="360" w:lineRule="auto"/>
        <w:jc w:val="both"/>
        <w:rPr>
          <w:bCs/>
        </w:rPr>
      </w:pPr>
    </w:p>
    <w:p w14:paraId="43E4DA54" w14:textId="09D55429" w:rsidR="004625B3" w:rsidRDefault="00F3207E" w:rsidP="00B90F23">
      <w:pPr>
        <w:tabs>
          <w:tab w:val="left" w:pos="3450"/>
        </w:tabs>
        <w:spacing w:after="0" w:line="360" w:lineRule="auto"/>
        <w:jc w:val="both"/>
        <w:rPr>
          <w:bCs/>
        </w:rPr>
      </w:pPr>
      <w:r>
        <w:rPr>
          <w:bCs/>
        </w:rPr>
        <w:t xml:space="preserve">Es importante analizar </w:t>
      </w:r>
      <w:proofErr w:type="gramStart"/>
      <w:r>
        <w:rPr>
          <w:bCs/>
        </w:rPr>
        <w:t xml:space="preserve">que </w:t>
      </w:r>
      <w:r w:rsidR="006A58BC">
        <w:rPr>
          <w:bCs/>
        </w:rPr>
        <w:t xml:space="preserve"> cuatro</w:t>
      </w:r>
      <w:proofErr w:type="gramEnd"/>
      <w:r w:rsidR="006A58BC">
        <w:rPr>
          <w:bCs/>
        </w:rPr>
        <w:t xml:space="preserve">  de los doce ejes que conforman la política</w:t>
      </w:r>
      <w:r>
        <w:rPr>
          <w:bCs/>
        </w:rPr>
        <w:t xml:space="preserve"> concentran el 84.51% del presupuesto ejecutado durante el primer semestre 2021, siendo estos: violencia contra la mujer, equidad laboral, participación sociopolítica y el económico. Los demás ejes aportan un 15.49% del presupuesto ejecutado. </w:t>
      </w:r>
    </w:p>
    <w:p w14:paraId="580A710D" w14:textId="77777777" w:rsidR="004625B3" w:rsidRDefault="004625B3">
      <w:pPr>
        <w:rPr>
          <w:bCs/>
        </w:rPr>
      </w:pPr>
      <w:r>
        <w:rPr>
          <w:bCs/>
        </w:rPr>
        <w:br w:type="page"/>
      </w:r>
    </w:p>
    <w:p w14:paraId="527649DC" w14:textId="6CC0B3F2" w:rsidR="000B7170" w:rsidRPr="00073CA5" w:rsidRDefault="000B7170" w:rsidP="00E402C3">
      <w:pPr>
        <w:pStyle w:val="Tabla"/>
        <w:spacing w:after="0"/>
        <w:jc w:val="center"/>
        <w:rPr>
          <w:b/>
          <w:bCs/>
        </w:rPr>
      </w:pPr>
      <w:r w:rsidRPr="00073CA5">
        <w:rPr>
          <w:b/>
          <w:bCs/>
        </w:rPr>
        <w:lastRenderedPageBreak/>
        <w:t>Tabla 7</w:t>
      </w:r>
    </w:p>
    <w:p w14:paraId="1A197462" w14:textId="77777777" w:rsidR="009365A1" w:rsidRPr="00337B99" w:rsidRDefault="009365A1" w:rsidP="009365A1">
      <w:pPr>
        <w:spacing w:after="0" w:line="240" w:lineRule="auto"/>
        <w:jc w:val="center"/>
        <w:rPr>
          <w:rFonts w:ascii="Calibri" w:eastAsia="Times New Roman" w:hAnsi="Calibri" w:cs="Times New Roman"/>
          <w:b/>
          <w:bCs/>
          <w:color w:val="000000"/>
          <w:lang w:eastAsia="es-GT"/>
        </w:rPr>
      </w:pPr>
      <w:r w:rsidRPr="00337B99">
        <w:rPr>
          <w:rFonts w:ascii="Calibri" w:eastAsia="Times New Roman" w:hAnsi="Calibri" w:cs="Times New Roman"/>
          <w:b/>
          <w:bCs/>
          <w:color w:val="000000"/>
          <w:lang w:eastAsia="es-GT"/>
        </w:rPr>
        <w:t xml:space="preserve">Presupuesto Vinculado al CPEG </w:t>
      </w:r>
      <w:r w:rsidRPr="00477454">
        <w:rPr>
          <w:b/>
          <w:bCs/>
        </w:rPr>
        <w:t>por Eje de PNPDIM</w:t>
      </w:r>
      <w:r>
        <w:rPr>
          <w:b/>
          <w:bCs/>
        </w:rPr>
        <w:t xml:space="preserve"> a </w:t>
      </w:r>
      <w:r w:rsidRPr="00337B99">
        <w:rPr>
          <w:rFonts w:ascii="Calibri" w:eastAsia="Times New Roman" w:hAnsi="Calibri" w:cs="Times New Roman"/>
          <w:b/>
          <w:bCs/>
          <w:color w:val="000000"/>
          <w:lang w:eastAsia="es-GT"/>
        </w:rPr>
        <w:t>en el Primer Semestre 2021</w:t>
      </w:r>
    </w:p>
    <w:p w14:paraId="039C313C" w14:textId="1B037848" w:rsidR="009365A1" w:rsidRDefault="009365A1" w:rsidP="0048334C">
      <w:pPr>
        <w:spacing w:after="0" w:line="240" w:lineRule="auto"/>
        <w:jc w:val="center"/>
        <w:rPr>
          <w:rFonts w:ascii="Calibri" w:eastAsia="Times New Roman" w:hAnsi="Calibri" w:cs="Times New Roman"/>
          <w:b/>
          <w:bCs/>
          <w:color w:val="000000"/>
          <w:lang w:eastAsia="es-GT"/>
        </w:rPr>
      </w:pPr>
      <w:r w:rsidRPr="00337B99">
        <w:rPr>
          <w:rFonts w:ascii="Calibri" w:eastAsia="Times New Roman" w:hAnsi="Calibri" w:cs="Times New Roman"/>
          <w:b/>
          <w:bCs/>
          <w:color w:val="000000"/>
          <w:lang w:eastAsia="es-GT"/>
        </w:rPr>
        <w:t xml:space="preserve">Instituciones </w:t>
      </w:r>
      <w:r>
        <w:rPr>
          <w:rFonts w:ascii="Calibri" w:eastAsia="Times New Roman" w:hAnsi="Calibri" w:cs="Times New Roman"/>
          <w:b/>
          <w:bCs/>
          <w:color w:val="000000"/>
          <w:lang w:eastAsia="es-GT"/>
        </w:rPr>
        <w:t>de Gobierno Desc</w:t>
      </w:r>
      <w:r w:rsidRPr="00337B99">
        <w:rPr>
          <w:rFonts w:ascii="Calibri" w:eastAsia="Times New Roman" w:hAnsi="Calibri" w:cs="Times New Roman"/>
          <w:b/>
          <w:bCs/>
          <w:color w:val="000000"/>
          <w:lang w:eastAsia="es-GT"/>
        </w:rPr>
        <w:t>entralizadas</w:t>
      </w:r>
    </w:p>
    <w:p w14:paraId="6F2A18B4" w14:textId="3D029439" w:rsidR="00EE2C68" w:rsidRDefault="00EE2C68" w:rsidP="0048334C">
      <w:pPr>
        <w:spacing w:after="0" w:line="240" w:lineRule="auto"/>
        <w:jc w:val="center"/>
        <w:rPr>
          <w:rFonts w:ascii="Calibri" w:eastAsia="Times New Roman" w:hAnsi="Calibri" w:cs="Times New Roman"/>
          <w:b/>
          <w:bCs/>
          <w:color w:val="000000"/>
          <w:lang w:eastAsia="es-G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0"/>
        <w:gridCol w:w="1885"/>
        <w:gridCol w:w="1885"/>
        <w:gridCol w:w="1885"/>
        <w:gridCol w:w="1163"/>
      </w:tblGrid>
      <w:tr w:rsidR="00EE2C68" w:rsidRPr="00102B7D" w14:paraId="6D351754" w14:textId="77777777" w:rsidTr="00164D73">
        <w:trPr>
          <w:trHeight w:val="671"/>
        </w:trPr>
        <w:tc>
          <w:tcPr>
            <w:tcW w:w="0" w:type="auto"/>
            <w:shd w:val="clear" w:color="000000" w:fill="1F4E78"/>
            <w:noWrap/>
            <w:vAlign w:val="center"/>
            <w:hideMark/>
          </w:tcPr>
          <w:p w14:paraId="20FDFB5A" w14:textId="77777777" w:rsidR="00EE2C68" w:rsidRPr="00102B7D" w:rsidRDefault="00EE2C68" w:rsidP="00AD52FD">
            <w:pPr>
              <w:spacing w:after="0" w:line="240" w:lineRule="auto"/>
              <w:jc w:val="center"/>
              <w:rPr>
                <w:rFonts w:ascii="Calibri" w:eastAsia="Times New Roman" w:hAnsi="Calibri" w:cs="Times New Roman"/>
                <w:b/>
                <w:bCs/>
                <w:color w:val="F2F2F2"/>
                <w:sz w:val="24"/>
                <w:szCs w:val="24"/>
                <w:lang w:eastAsia="es-GT"/>
              </w:rPr>
            </w:pPr>
            <w:r w:rsidRPr="00102B7D">
              <w:rPr>
                <w:rFonts w:ascii="Calibri" w:eastAsia="Times New Roman" w:hAnsi="Calibri" w:cs="Times New Roman"/>
                <w:b/>
                <w:bCs/>
                <w:color w:val="F2F2F2"/>
                <w:sz w:val="24"/>
                <w:szCs w:val="24"/>
                <w:lang w:eastAsia="es-GT"/>
              </w:rPr>
              <w:t>Criterio</w:t>
            </w:r>
          </w:p>
        </w:tc>
        <w:tc>
          <w:tcPr>
            <w:tcW w:w="0" w:type="auto"/>
            <w:shd w:val="clear" w:color="000000" w:fill="1F4E78"/>
            <w:vAlign w:val="center"/>
            <w:hideMark/>
          </w:tcPr>
          <w:p w14:paraId="4AA062C4" w14:textId="77777777" w:rsidR="00EE2C68" w:rsidRPr="00102B7D" w:rsidRDefault="00EE2C68" w:rsidP="00AD52FD">
            <w:pPr>
              <w:spacing w:after="0" w:line="240" w:lineRule="auto"/>
              <w:jc w:val="center"/>
              <w:rPr>
                <w:rFonts w:ascii="Calibri" w:eastAsia="Times New Roman" w:hAnsi="Calibri" w:cs="Times New Roman"/>
                <w:b/>
                <w:bCs/>
                <w:color w:val="F2F2F2"/>
                <w:sz w:val="24"/>
                <w:szCs w:val="24"/>
                <w:lang w:eastAsia="es-GT"/>
              </w:rPr>
            </w:pPr>
            <w:r w:rsidRPr="00102B7D">
              <w:rPr>
                <w:rFonts w:ascii="Calibri" w:eastAsia="Times New Roman" w:hAnsi="Calibri" w:cs="Times New Roman"/>
                <w:b/>
                <w:bCs/>
                <w:color w:val="F2F2F2"/>
                <w:sz w:val="24"/>
                <w:szCs w:val="24"/>
                <w:lang w:eastAsia="es-GT"/>
              </w:rPr>
              <w:t>Asignado</w:t>
            </w:r>
          </w:p>
        </w:tc>
        <w:tc>
          <w:tcPr>
            <w:tcW w:w="0" w:type="auto"/>
            <w:shd w:val="clear" w:color="000000" w:fill="1F4E78"/>
            <w:vAlign w:val="center"/>
            <w:hideMark/>
          </w:tcPr>
          <w:p w14:paraId="05F9E674" w14:textId="77777777" w:rsidR="00EE2C68" w:rsidRPr="00102B7D" w:rsidRDefault="00EE2C68" w:rsidP="00AD52FD">
            <w:pPr>
              <w:spacing w:after="0" w:line="240" w:lineRule="auto"/>
              <w:jc w:val="center"/>
              <w:rPr>
                <w:rFonts w:ascii="Calibri" w:eastAsia="Times New Roman" w:hAnsi="Calibri" w:cs="Times New Roman"/>
                <w:b/>
                <w:bCs/>
                <w:color w:val="F2F2F2"/>
                <w:sz w:val="24"/>
                <w:szCs w:val="24"/>
                <w:lang w:eastAsia="es-GT"/>
              </w:rPr>
            </w:pPr>
            <w:r w:rsidRPr="00102B7D">
              <w:rPr>
                <w:rFonts w:ascii="Calibri" w:eastAsia="Times New Roman" w:hAnsi="Calibri" w:cs="Times New Roman"/>
                <w:b/>
                <w:bCs/>
                <w:color w:val="F2F2F2"/>
                <w:sz w:val="24"/>
                <w:szCs w:val="24"/>
                <w:lang w:eastAsia="es-GT"/>
              </w:rPr>
              <w:t>Vigente</w:t>
            </w:r>
          </w:p>
        </w:tc>
        <w:tc>
          <w:tcPr>
            <w:tcW w:w="0" w:type="auto"/>
            <w:shd w:val="clear" w:color="000000" w:fill="1F4E78"/>
            <w:vAlign w:val="center"/>
            <w:hideMark/>
          </w:tcPr>
          <w:p w14:paraId="5F0A9D2C" w14:textId="77777777" w:rsidR="00EE2C68" w:rsidRPr="00102B7D" w:rsidRDefault="00EE2C68" w:rsidP="00AD52FD">
            <w:pPr>
              <w:spacing w:after="0" w:line="240" w:lineRule="auto"/>
              <w:jc w:val="center"/>
              <w:rPr>
                <w:rFonts w:ascii="Calibri" w:eastAsia="Times New Roman" w:hAnsi="Calibri" w:cs="Times New Roman"/>
                <w:b/>
                <w:bCs/>
                <w:color w:val="F2F2F2"/>
                <w:sz w:val="24"/>
                <w:szCs w:val="24"/>
                <w:lang w:eastAsia="es-GT"/>
              </w:rPr>
            </w:pPr>
            <w:r w:rsidRPr="00102B7D">
              <w:rPr>
                <w:rFonts w:ascii="Calibri" w:eastAsia="Times New Roman" w:hAnsi="Calibri" w:cs="Times New Roman"/>
                <w:b/>
                <w:bCs/>
                <w:color w:val="F2F2F2"/>
                <w:sz w:val="24"/>
                <w:szCs w:val="24"/>
                <w:lang w:eastAsia="es-GT"/>
              </w:rPr>
              <w:t>Devengado</w:t>
            </w:r>
          </w:p>
        </w:tc>
        <w:tc>
          <w:tcPr>
            <w:tcW w:w="0" w:type="auto"/>
            <w:shd w:val="clear" w:color="000000" w:fill="1F4E78"/>
            <w:vAlign w:val="center"/>
            <w:hideMark/>
          </w:tcPr>
          <w:p w14:paraId="353C8131" w14:textId="77777777" w:rsidR="00EE2C68" w:rsidRPr="00102B7D" w:rsidRDefault="00EE2C68" w:rsidP="00AD52FD">
            <w:pPr>
              <w:spacing w:after="0" w:line="240" w:lineRule="auto"/>
              <w:jc w:val="center"/>
              <w:rPr>
                <w:rFonts w:ascii="Calibri" w:eastAsia="Times New Roman" w:hAnsi="Calibri" w:cs="Times New Roman"/>
                <w:b/>
                <w:bCs/>
                <w:color w:val="F2F2F2"/>
                <w:sz w:val="24"/>
                <w:szCs w:val="24"/>
                <w:lang w:eastAsia="es-GT"/>
              </w:rPr>
            </w:pPr>
            <w:r w:rsidRPr="00102B7D">
              <w:rPr>
                <w:rFonts w:ascii="Calibri" w:eastAsia="Times New Roman" w:hAnsi="Calibri" w:cs="Times New Roman"/>
                <w:b/>
                <w:bCs/>
                <w:color w:val="F2F2F2"/>
                <w:sz w:val="24"/>
                <w:szCs w:val="24"/>
                <w:lang w:eastAsia="es-GT"/>
              </w:rPr>
              <w:t>% Ejecución</w:t>
            </w:r>
          </w:p>
        </w:tc>
      </w:tr>
      <w:tr w:rsidR="00EE2C68" w:rsidRPr="00102B7D" w14:paraId="0FC376EB" w14:textId="77777777" w:rsidTr="00164D73">
        <w:trPr>
          <w:trHeight w:val="545"/>
        </w:trPr>
        <w:tc>
          <w:tcPr>
            <w:tcW w:w="0" w:type="auto"/>
            <w:shd w:val="clear" w:color="000000" w:fill="BDD7EE"/>
            <w:vAlign w:val="center"/>
            <w:hideMark/>
          </w:tcPr>
          <w:p w14:paraId="28CCEC40" w14:textId="77777777" w:rsidR="00EE2C68" w:rsidRPr="00102B7D" w:rsidRDefault="00EE2C68" w:rsidP="00AD52FD">
            <w:pPr>
              <w:spacing w:after="0" w:line="240" w:lineRule="auto"/>
              <w:rPr>
                <w:rFonts w:eastAsia="Times New Roman" w:cs="Times New Roman"/>
                <w:color w:val="000000"/>
                <w:sz w:val="20"/>
                <w:szCs w:val="20"/>
                <w:lang w:eastAsia="es-GT"/>
              </w:rPr>
            </w:pPr>
            <w:r w:rsidRPr="00102B7D">
              <w:rPr>
                <w:rFonts w:eastAsia="Times New Roman" w:cs="Times New Roman"/>
                <w:color w:val="000000"/>
                <w:sz w:val="20"/>
                <w:szCs w:val="20"/>
                <w:lang w:eastAsia="es-GT"/>
              </w:rPr>
              <w:t>1. Económico</w:t>
            </w:r>
          </w:p>
        </w:tc>
        <w:tc>
          <w:tcPr>
            <w:tcW w:w="0" w:type="auto"/>
            <w:shd w:val="clear" w:color="000000" w:fill="BDD7EE"/>
            <w:noWrap/>
            <w:vAlign w:val="center"/>
            <w:hideMark/>
          </w:tcPr>
          <w:p w14:paraId="58901B1B"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158,395,877.00 </w:t>
            </w:r>
          </w:p>
        </w:tc>
        <w:tc>
          <w:tcPr>
            <w:tcW w:w="0" w:type="auto"/>
            <w:shd w:val="clear" w:color="000000" w:fill="BDD7EE"/>
            <w:noWrap/>
            <w:vAlign w:val="center"/>
            <w:hideMark/>
          </w:tcPr>
          <w:p w14:paraId="2B6CBC11"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160,118,583.00 </w:t>
            </w:r>
          </w:p>
        </w:tc>
        <w:tc>
          <w:tcPr>
            <w:tcW w:w="0" w:type="auto"/>
            <w:shd w:val="clear" w:color="000000" w:fill="BDD7EE"/>
            <w:noWrap/>
            <w:vAlign w:val="center"/>
            <w:hideMark/>
          </w:tcPr>
          <w:p w14:paraId="0577A92D"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55,123,488.69 </w:t>
            </w:r>
          </w:p>
        </w:tc>
        <w:tc>
          <w:tcPr>
            <w:tcW w:w="0" w:type="auto"/>
            <w:shd w:val="clear" w:color="000000" w:fill="BDD7EE"/>
            <w:noWrap/>
            <w:vAlign w:val="center"/>
            <w:hideMark/>
          </w:tcPr>
          <w:p w14:paraId="5AA1E462" w14:textId="77777777" w:rsidR="00EE2C68" w:rsidRPr="00102B7D" w:rsidRDefault="00EE2C68" w:rsidP="00AD52FD">
            <w:pPr>
              <w:spacing w:after="0" w:line="240" w:lineRule="auto"/>
              <w:jc w:val="center"/>
              <w:rPr>
                <w:rFonts w:eastAsia="Times New Roman" w:cs="Times New Roman"/>
                <w:color w:val="000000"/>
                <w:sz w:val="20"/>
                <w:szCs w:val="20"/>
                <w:lang w:eastAsia="es-GT"/>
              </w:rPr>
            </w:pPr>
            <w:r w:rsidRPr="00102B7D">
              <w:rPr>
                <w:rFonts w:eastAsia="Times New Roman" w:cs="Times New Roman"/>
                <w:color w:val="000000"/>
                <w:sz w:val="20"/>
                <w:szCs w:val="20"/>
                <w:lang w:eastAsia="es-GT"/>
              </w:rPr>
              <w:t>34%</w:t>
            </w:r>
          </w:p>
        </w:tc>
      </w:tr>
      <w:tr w:rsidR="00EE2C68" w:rsidRPr="00102B7D" w14:paraId="011A0CAC" w14:textId="77777777" w:rsidTr="00164D73">
        <w:trPr>
          <w:trHeight w:val="545"/>
        </w:trPr>
        <w:tc>
          <w:tcPr>
            <w:tcW w:w="0" w:type="auto"/>
            <w:shd w:val="clear" w:color="000000" w:fill="BDD7EE"/>
            <w:vAlign w:val="center"/>
            <w:hideMark/>
          </w:tcPr>
          <w:p w14:paraId="58B5DDC0" w14:textId="77777777" w:rsidR="00EE2C68" w:rsidRPr="00102B7D" w:rsidRDefault="00EE2C68" w:rsidP="00AD52FD">
            <w:pPr>
              <w:spacing w:after="0" w:line="240" w:lineRule="auto"/>
              <w:rPr>
                <w:rFonts w:eastAsia="Times New Roman" w:cs="Times New Roman"/>
                <w:color w:val="000000"/>
                <w:sz w:val="20"/>
                <w:szCs w:val="20"/>
                <w:lang w:eastAsia="es-GT"/>
              </w:rPr>
            </w:pPr>
            <w:r w:rsidRPr="00102B7D">
              <w:rPr>
                <w:rFonts w:eastAsia="Times New Roman" w:cs="Times New Roman"/>
                <w:color w:val="000000"/>
                <w:sz w:val="20"/>
                <w:szCs w:val="20"/>
                <w:lang w:eastAsia="es-GT"/>
              </w:rPr>
              <w:t>2. Recursos Naturales, Tierra y Vivienda</w:t>
            </w:r>
          </w:p>
        </w:tc>
        <w:tc>
          <w:tcPr>
            <w:tcW w:w="0" w:type="auto"/>
            <w:shd w:val="clear" w:color="000000" w:fill="BDD7EE"/>
            <w:noWrap/>
            <w:vAlign w:val="center"/>
            <w:hideMark/>
          </w:tcPr>
          <w:p w14:paraId="5408FA6C"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55,870,244.00 </w:t>
            </w:r>
          </w:p>
        </w:tc>
        <w:tc>
          <w:tcPr>
            <w:tcW w:w="0" w:type="auto"/>
            <w:shd w:val="clear" w:color="000000" w:fill="BDD7EE"/>
            <w:noWrap/>
            <w:vAlign w:val="center"/>
            <w:hideMark/>
          </w:tcPr>
          <w:p w14:paraId="777BDBBF"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56,973,464.61 </w:t>
            </w:r>
          </w:p>
        </w:tc>
        <w:tc>
          <w:tcPr>
            <w:tcW w:w="0" w:type="auto"/>
            <w:shd w:val="clear" w:color="000000" w:fill="BDD7EE"/>
            <w:noWrap/>
            <w:vAlign w:val="center"/>
            <w:hideMark/>
          </w:tcPr>
          <w:p w14:paraId="65AA1869"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20,076,146.46 </w:t>
            </w:r>
          </w:p>
        </w:tc>
        <w:tc>
          <w:tcPr>
            <w:tcW w:w="0" w:type="auto"/>
            <w:shd w:val="clear" w:color="000000" w:fill="BDD7EE"/>
            <w:noWrap/>
            <w:vAlign w:val="center"/>
            <w:hideMark/>
          </w:tcPr>
          <w:p w14:paraId="49774EE2" w14:textId="77777777" w:rsidR="00EE2C68" w:rsidRPr="00102B7D" w:rsidRDefault="00EE2C68" w:rsidP="00AD52FD">
            <w:pPr>
              <w:spacing w:after="0" w:line="240" w:lineRule="auto"/>
              <w:jc w:val="center"/>
              <w:rPr>
                <w:rFonts w:eastAsia="Times New Roman" w:cs="Times New Roman"/>
                <w:color w:val="000000"/>
                <w:sz w:val="20"/>
                <w:szCs w:val="20"/>
                <w:lang w:eastAsia="es-GT"/>
              </w:rPr>
            </w:pPr>
            <w:r w:rsidRPr="00102B7D">
              <w:rPr>
                <w:rFonts w:eastAsia="Times New Roman" w:cs="Times New Roman"/>
                <w:color w:val="000000"/>
                <w:sz w:val="20"/>
                <w:szCs w:val="20"/>
                <w:lang w:eastAsia="es-GT"/>
              </w:rPr>
              <w:t>35%</w:t>
            </w:r>
          </w:p>
        </w:tc>
      </w:tr>
      <w:tr w:rsidR="00EE2C68" w:rsidRPr="00102B7D" w14:paraId="0922612F" w14:textId="77777777" w:rsidTr="00164D73">
        <w:trPr>
          <w:trHeight w:val="545"/>
        </w:trPr>
        <w:tc>
          <w:tcPr>
            <w:tcW w:w="0" w:type="auto"/>
            <w:shd w:val="clear" w:color="000000" w:fill="BDD7EE"/>
            <w:vAlign w:val="center"/>
            <w:hideMark/>
          </w:tcPr>
          <w:p w14:paraId="5F64CA6B" w14:textId="77777777" w:rsidR="00EE2C68" w:rsidRPr="00102B7D" w:rsidRDefault="00EE2C68" w:rsidP="00AD52FD">
            <w:pPr>
              <w:spacing w:after="0" w:line="240" w:lineRule="auto"/>
              <w:rPr>
                <w:rFonts w:eastAsia="Times New Roman" w:cs="Times New Roman"/>
                <w:color w:val="000000"/>
                <w:sz w:val="20"/>
                <w:szCs w:val="20"/>
                <w:lang w:eastAsia="es-GT"/>
              </w:rPr>
            </w:pPr>
            <w:r w:rsidRPr="00102B7D">
              <w:rPr>
                <w:rFonts w:eastAsia="Times New Roman" w:cs="Times New Roman"/>
                <w:color w:val="000000"/>
                <w:sz w:val="20"/>
                <w:szCs w:val="20"/>
                <w:lang w:eastAsia="es-GT"/>
              </w:rPr>
              <w:t>3. Educación</w:t>
            </w:r>
          </w:p>
        </w:tc>
        <w:tc>
          <w:tcPr>
            <w:tcW w:w="0" w:type="auto"/>
            <w:shd w:val="clear" w:color="000000" w:fill="BDD7EE"/>
            <w:noWrap/>
            <w:vAlign w:val="center"/>
            <w:hideMark/>
          </w:tcPr>
          <w:p w14:paraId="38B663F5"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145,500,467.00 </w:t>
            </w:r>
          </w:p>
        </w:tc>
        <w:tc>
          <w:tcPr>
            <w:tcW w:w="0" w:type="auto"/>
            <w:shd w:val="clear" w:color="000000" w:fill="BDD7EE"/>
            <w:noWrap/>
            <w:vAlign w:val="center"/>
            <w:hideMark/>
          </w:tcPr>
          <w:p w14:paraId="48258153"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248,379,186.00 </w:t>
            </w:r>
          </w:p>
        </w:tc>
        <w:tc>
          <w:tcPr>
            <w:tcW w:w="0" w:type="auto"/>
            <w:shd w:val="clear" w:color="000000" w:fill="BDD7EE"/>
            <w:noWrap/>
            <w:vAlign w:val="center"/>
            <w:hideMark/>
          </w:tcPr>
          <w:p w14:paraId="61DF2664"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58,889,621.02 </w:t>
            </w:r>
          </w:p>
        </w:tc>
        <w:tc>
          <w:tcPr>
            <w:tcW w:w="0" w:type="auto"/>
            <w:shd w:val="clear" w:color="000000" w:fill="BDD7EE"/>
            <w:noWrap/>
            <w:vAlign w:val="center"/>
            <w:hideMark/>
          </w:tcPr>
          <w:p w14:paraId="48D0B0FB" w14:textId="77777777" w:rsidR="00EE2C68" w:rsidRPr="00102B7D" w:rsidRDefault="00EE2C68" w:rsidP="00AD52FD">
            <w:pPr>
              <w:spacing w:after="0" w:line="240" w:lineRule="auto"/>
              <w:jc w:val="center"/>
              <w:rPr>
                <w:rFonts w:eastAsia="Times New Roman" w:cs="Times New Roman"/>
                <w:color w:val="000000"/>
                <w:sz w:val="20"/>
                <w:szCs w:val="20"/>
                <w:lang w:eastAsia="es-GT"/>
              </w:rPr>
            </w:pPr>
            <w:r w:rsidRPr="00102B7D">
              <w:rPr>
                <w:rFonts w:eastAsia="Times New Roman" w:cs="Times New Roman"/>
                <w:color w:val="000000"/>
                <w:sz w:val="20"/>
                <w:szCs w:val="20"/>
                <w:lang w:eastAsia="es-GT"/>
              </w:rPr>
              <w:t>24%</w:t>
            </w:r>
          </w:p>
        </w:tc>
      </w:tr>
      <w:tr w:rsidR="00EE2C68" w:rsidRPr="00102B7D" w14:paraId="51AF6BC8" w14:textId="77777777" w:rsidTr="00164D73">
        <w:trPr>
          <w:trHeight w:val="545"/>
        </w:trPr>
        <w:tc>
          <w:tcPr>
            <w:tcW w:w="0" w:type="auto"/>
            <w:shd w:val="clear" w:color="000000" w:fill="BDD7EE"/>
            <w:vAlign w:val="center"/>
            <w:hideMark/>
          </w:tcPr>
          <w:p w14:paraId="06F6ECF1" w14:textId="77777777" w:rsidR="00EE2C68" w:rsidRPr="00102B7D" w:rsidRDefault="00EE2C68" w:rsidP="00AD52FD">
            <w:pPr>
              <w:spacing w:after="0" w:line="240" w:lineRule="auto"/>
              <w:rPr>
                <w:rFonts w:eastAsia="Times New Roman" w:cs="Times New Roman"/>
                <w:color w:val="000000"/>
                <w:sz w:val="20"/>
                <w:szCs w:val="20"/>
                <w:lang w:eastAsia="es-GT"/>
              </w:rPr>
            </w:pPr>
            <w:r w:rsidRPr="00102B7D">
              <w:rPr>
                <w:rFonts w:eastAsia="Times New Roman" w:cs="Times New Roman"/>
                <w:color w:val="000000"/>
                <w:sz w:val="20"/>
                <w:szCs w:val="20"/>
                <w:lang w:eastAsia="es-GT"/>
              </w:rPr>
              <w:t>4. Salud</w:t>
            </w:r>
          </w:p>
        </w:tc>
        <w:tc>
          <w:tcPr>
            <w:tcW w:w="0" w:type="auto"/>
            <w:shd w:val="clear" w:color="000000" w:fill="BDD7EE"/>
            <w:noWrap/>
            <w:vAlign w:val="center"/>
            <w:hideMark/>
          </w:tcPr>
          <w:p w14:paraId="49EC9B1D"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10,300,000.00 </w:t>
            </w:r>
          </w:p>
        </w:tc>
        <w:tc>
          <w:tcPr>
            <w:tcW w:w="0" w:type="auto"/>
            <w:shd w:val="clear" w:color="000000" w:fill="BDD7EE"/>
            <w:noWrap/>
            <w:vAlign w:val="center"/>
            <w:hideMark/>
          </w:tcPr>
          <w:p w14:paraId="15077EE8"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100,600,287.00 </w:t>
            </w:r>
          </w:p>
        </w:tc>
        <w:tc>
          <w:tcPr>
            <w:tcW w:w="0" w:type="auto"/>
            <w:shd w:val="clear" w:color="000000" w:fill="BDD7EE"/>
            <w:noWrap/>
            <w:vAlign w:val="center"/>
            <w:hideMark/>
          </w:tcPr>
          <w:p w14:paraId="5B9C35D0"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39,962,573.50 </w:t>
            </w:r>
          </w:p>
        </w:tc>
        <w:tc>
          <w:tcPr>
            <w:tcW w:w="0" w:type="auto"/>
            <w:shd w:val="clear" w:color="000000" w:fill="BDD7EE"/>
            <w:noWrap/>
            <w:vAlign w:val="center"/>
            <w:hideMark/>
          </w:tcPr>
          <w:p w14:paraId="12C95ADC" w14:textId="77777777" w:rsidR="00EE2C68" w:rsidRPr="00102B7D" w:rsidRDefault="00EE2C68" w:rsidP="00AD52FD">
            <w:pPr>
              <w:spacing w:after="0" w:line="240" w:lineRule="auto"/>
              <w:jc w:val="center"/>
              <w:rPr>
                <w:rFonts w:eastAsia="Times New Roman" w:cs="Times New Roman"/>
                <w:color w:val="000000"/>
                <w:sz w:val="20"/>
                <w:szCs w:val="20"/>
                <w:lang w:eastAsia="es-GT"/>
              </w:rPr>
            </w:pPr>
            <w:r w:rsidRPr="00102B7D">
              <w:rPr>
                <w:rFonts w:eastAsia="Times New Roman" w:cs="Times New Roman"/>
                <w:color w:val="000000"/>
                <w:sz w:val="20"/>
                <w:szCs w:val="20"/>
                <w:lang w:eastAsia="es-GT"/>
              </w:rPr>
              <w:t>40%</w:t>
            </w:r>
          </w:p>
        </w:tc>
      </w:tr>
      <w:tr w:rsidR="00EE2C68" w:rsidRPr="00102B7D" w14:paraId="3F6424DD" w14:textId="77777777" w:rsidTr="00164D73">
        <w:trPr>
          <w:trHeight w:val="545"/>
        </w:trPr>
        <w:tc>
          <w:tcPr>
            <w:tcW w:w="0" w:type="auto"/>
            <w:shd w:val="clear" w:color="000000" w:fill="BDD7EE"/>
            <w:vAlign w:val="center"/>
            <w:hideMark/>
          </w:tcPr>
          <w:p w14:paraId="51C6CAE5" w14:textId="77777777" w:rsidR="00EE2C68" w:rsidRPr="00102B7D" w:rsidRDefault="00EE2C68" w:rsidP="00AD52FD">
            <w:pPr>
              <w:spacing w:after="0" w:line="240" w:lineRule="auto"/>
              <w:rPr>
                <w:rFonts w:eastAsia="Times New Roman" w:cs="Times New Roman"/>
                <w:color w:val="000000"/>
                <w:sz w:val="20"/>
                <w:szCs w:val="20"/>
                <w:lang w:eastAsia="es-GT"/>
              </w:rPr>
            </w:pPr>
            <w:r w:rsidRPr="00102B7D">
              <w:rPr>
                <w:rFonts w:eastAsia="Times New Roman" w:cs="Times New Roman"/>
                <w:color w:val="000000"/>
                <w:sz w:val="20"/>
                <w:szCs w:val="20"/>
                <w:lang w:eastAsia="es-GT"/>
              </w:rPr>
              <w:t>5. Violencia Contra las Mujeres</w:t>
            </w:r>
          </w:p>
        </w:tc>
        <w:tc>
          <w:tcPr>
            <w:tcW w:w="0" w:type="auto"/>
            <w:shd w:val="clear" w:color="000000" w:fill="BDD7EE"/>
            <w:noWrap/>
            <w:vAlign w:val="center"/>
            <w:hideMark/>
          </w:tcPr>
          <w:p w14:paraId="52629AF7"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632,563,542.00 </w:t>
            </w:r>
          </w:p>
        </w:tc>
        <w:tc>
          <w:tcPr>
            <w:tcW w:w="0" w:type="auto"/>
            <w:shd w:val="clear" w:color="000000" w:fill="BDD7EE"/>
            <w:noWrap/>
            <w:vAlign w:val="center"/>
            <w:hideMark/>
          </w:tcPr>
          <w:p w14:paraId="2BDFE586"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781,525,587.94 </w:t>
            </w:r>
          </w:p>
        </w:tc>
        <w:tc>
          <w:tcPr>
            <w:tcW w:w="0" w:type="auto"/>
            <w:shd w:val="clear" w:color="000000" w:fill="BDD7EE"/>
            <w:noWrap/>
            <w:vAlign w:val="center"/>
            <w:hideMark/>
          </w:tcPr>
          <w:p w14:paraId="47751FD1"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318,467,823.69 </w:t>
            </w:r>
          </w:p>
        </w:tc>
        <w:tc>
          <w:tcPr>
            <w:tcW w:w="0" w:type="auto"/>
            <w:shd w:val="clear" w:color="000000" w:fill="BDD7EE"/>
            <w:noWrap/>
            <w:vAlign w:val="center"/>
            <w:hideMark/>
          </w:tcPr>
          <w:p w14:paraId="73528278" w14:textId="77777777" w:rsidR="00EE2C68" w:rsidRPr="00102B7D" w:rsidRDefault="00EE2C68" w:rsidP="00AD52FD">
            <w:pPr>
              <w:spacing w:after="0" w:line="240" w:lineRule="auto"/>
              <w:jc w:val="center"/>
              <w:rPr>
                <w:rFonts w:eastAsia="Times New Roman" w:cs="Times New Roman"/>
                <w:color w:val="000000"/>
                <w:sz w:val="20"/>
                <w:szCs w:val="20"/>
                <w:lang w:eastAsia="es-GT"/>
              </w:rPr>
            </w:pPr>
            <w:r w:rsidRPr="00102B7D">
              <w:rPr>
                <w:rFonts w:eastAsia="Times New Roman" w:cs="Times New Roman"/>
                <w:color w:val="000000"/>
                <w:sz w:val="20"/>
                <w:szCs w:val="20"/>
                <w:lang w:eastAsia="es-GT"/>
              </w:rPr>
              <w:t>41%</w:t>
            </w:r>
          </w:p>
        </w:tc>
      </w:tr>
      <w:tr w:rsidR="00EE2C68" w:rsidRPr="00102B7D" w14:paraId="6B62A92A" w14:textId="77777777" w:rsidTr="00164D73">
        <w:trPr>
          <w:trHeight w:val="545"/>
        </w:trPr>
        <w:tc>
          <w:tcPr>
            <w:tcW w:w="0" w:type="auto"/>
            <w:shd w:val="clear" w:color="000000" w:fill="BDD7EE"/>
            <w:vAlign w:val="center"/>
            <w:hideMark/>
          </w:tcPr>
          <w:p w14:paraId="7FE70215" w14:textId="77777777" w:rsidR="00EE2C68" w:rsidRPr="00102B7D" w:rsidRDefault="00EE2C68" w:rsidP="00AD52FD">
            <w:pPr>
              <w:spacing w:after="0" w:line="240" w:lineRule="auto"/>
              <w:rPr>
                <w:rFonts w:eastAsia="Times New Roman" w:cs="Times New Roman"/>
                <w:color w:val="000000"/>
                <w:sz w:val="20"/>
                <w:szCs w:val="20"/>
                <w:lang w:eastAsia="es-GT"/>
              </w:rPr>
            </w:pPr>
            <w:r w:rsidRPr="00102B7D">
              <w:rPr>
                <w:rFonts w:eastAsia="Times New Roman" w:cs="Times New Roman"/>
                <w:color w:val="000000"/>
                <w:sz w:val="20"/>
                <w:szCs w:val="20"/>
                <w:lang w:eastAsia="es-GT"/>
              </w:rPr>
              <w:t>6. Equidad Jurídica</w:t>
            </w:r>
          </w:p>
        </w:tc>
        <w:tc>
          <w:tcPr>
            <w:tcW w:w="0" w:type="auto"/>
            <w:shd w:val="clear" w:color="000000" w:fill="BDD7EE"/>
            <w:noWrap/>
            <w:vAlign w:val="center"/>
            <w:hideMark/>
          </w:tcPr>
          <w:p w14:paraId="5C47CAA0"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1,948,467.00 </w:t>
            </w:r>
          </w:p>
        </w:tc>
        <w:tc>
          <w:tcPr>
            <w:tcW w:w="0" w:type="auto"/>
            <w:shd w:val="clear" w:color="000000" w:fill="BDD7EE"/>
            <w:noWrap/>
            <w:vAlign w:val="center"/>
            <w:hideMark/>
          </w:tcPr>
          <w:p w14:paraId="493544A6"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1,963,175.00 </w:t>
            </w:r>
          </w:p>
        </w:tc>
        <w:tc>
          <w:tcPr>
            <w:tcW w:w="0" w:type="auto"/>
            <w:shd w:val="clear" w:color="000000" w:fill="BDD7EE"/>
            <w:noWrap/>
            <w:vAlign w:val="center"/>
            <w:hideMark/>
          </w:tcPr>
          <w:p w14:paraId="1B977D0F"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767,825.03 </w:t>
            </w:r>
          </w:p>
        </w:tc>
        <w:tc>
          <w:tcPr>
            <w:tcW w:w="0" w:type="auto"/>
            <w:shd w:val="clear" w:color="000000" w:fill="BDD7EE"/>
            <w:noWrap/>
            <w:vAlign w:val="center"/>
            <w:hideMark/>
          </w:tcPr>
          <w:p w14:paraId="1DA55961" w14:textId="77777777" w:rsidR="00EE2C68" w:rsidRPr="00102B7D" w:rsidRDefault="00EE2C68" w:rsidP="00AD52FD">
            <w:pPr>
              <w:spacing w:after="0" w:line="240" w:lineRule="auto"/>
              <w:jc w:val="center"/>
              <w:rPr>
                <w:rFonts w:eastAsia="Times New Roman" w:cs="Times New Roman"/>
                <w:color w:val="000000"/>
                <w:sz w:val="20"/>
                <w:szCs w:val="20"/>
                <w:lang w:eastAsia="es-GT"/>
              </w:rPr>
            </w:pPr>
            <w:r w:rsidRPr="00102B7D">
              <w:rPr>
                <w:rFonts w:eastAsia="Times New Roman" w:cs="Times New Roman"/>
                <w:color w:val="000000"/>
                <w:sz w:val="20"/>
                <w:szCs w:val="20"/>
                <w:lang w:eastAsia="es-GT"/>
              </w:rPr>
              <w:t>39%</w:t>
            </w:r>
          </w:p>
        </w:tc>
      </w:tr>
      <w:tr w:rsidR="00EE2C68" w:rsidRPr="00102B7D" w14:paraId="49EABAD5" w14:textId="77777777" w:rsidTr="00164D73">
        <w:trPr>
          <w:trHeight w:val="545"/>
        </w:trPr>
        <w:tc>
          <w:tcPr>
            <w:tcW w:w="0" w:type="auto"/>
            <w:shd w:val="clear" w:color="000000" w:fill="BDD7EE"/>
            <w:vAlign w:val="center"/>
            <w:hideMark/>
          </w:tcPr>
          <w:p w14:paraId="4300A2AC" w14:textId="77777777" w:rsidR="00EE2C68" w:rsidRPr="00102B7D" w:rsidRDefault="00EE2C68" w:rsidP="00AD52FD">
            <w:pPr>
              <w:spacing w:after="0" w:line="240" w:lineRule="auto"/>
              <w:rPr>
                <w:rFonts w:eastAsia="Times New Roman" w:cs="Times New Roman"/>
                <w:color w:val="000000"/>
                <w:sz w:val="20"/>
                <w:szCs w:val="20"/>
                <w:lang w:eastAsia="es-GT"/>
              </w:rPr>
            </w:pPr>
            <w:r w:rsidRPr="00102B7D">
              <w:rPr>
                <w:rFonts w:eastAsia="Times New Roman" w:cs="Times New Roman"/>
                <w:color w:val="000000"/>
                <w:sz w:val="20"/>
                <w:szCs w:val="20"/>
                <w:lang w:eastAsia="es-GT"/>
              </w:rPr>
              <w:t>7. Racismo y Discriminación</w:t>
            </w:r>
          </w:p>
        </w:tc>
        <w:tc>
          <w:tcPr>
            <w:tcW w:w="0" w:type="auto"/>
            <w:shd w:val="clear" w:color="000000" w:fill="BDD7EE"/>
            <w:noWrap/>
            <w:vAlign w:val="center"/>
            <w:hideMark/>
          </w:tcPr>
          <w:p w14:paraId="0A6D886A" w14:textId="61A0941B"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 xml:space="preserve">  </w:t>
            </w:r>
            <w:r w:rsidRPr="00102B7D">
              <w:rPr>
                <w:rFonts w:eastAsia="Times New Roman" w:cs="Times New Roman"/>
                <w:color w:val="000000"/>
                <w:sz w:val="20"/>
                <w:szCs w:val="20"/>
                <w:lang w:eastAsia="es-GT"/>
              </w:rPr>
              <w:t xml:space="preserve">   </w:t>
            </w:r>
            <w:r>
              <w:rPr>
                <w:rFonts w:eastAsia="Times New Roman" w:cs="Times New Roman"/>
                <w:color w:val="000000"/>
                <w:sz w:val="20"/>
                <w:szCs w:val="20"/>
                <w:lang w:eastAsia="es-GT"/>
              </w:rPr>
              <w:t>0.0</w:t>
            </w:r>
            <w:r w:rsidRPr="00102B7D">
              <w:rPr>
                <w:rFonts w:eastAsia="Times New Roman" w:cs="Times New Roman"/>
                <w:color w:val="000000"/>
                <w:sz w:val="20"/>
                <w:szCs w:val="20"/>
                <w:lang w:eastAsia="es-GT"/>
              </w:rPr>
              <w:t xml:space="preserve">   </w:t>
            </w:r>
          </w:p>
        </w:tc>
        <w:tc>
          <w:tcPr>
            <w:tcW w:w="0" w:type="auto"/>
            <w:shd w:val="clear" w:color="000000" w:fill="BDD7EE"/>
            <w:noWrap/>
            <w:vAlign w:val="center"/>
            <w:hideMark/>
          </w:tcPr>
          <w:p w14:paraId="2716FB83" w14:textId="4AEE4143"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102B7D">
              <w:rPr>
                <w:rFonts w:eastAsia="Times New Roman" w:cs="Times New Roman"/>
                <w:color w:val="000000"/>
                <w:sz w:val="20"/>
                <w:szCs w:val="20"/>
                <w:lang w:eastAsia="es-GT"/>
              </w:rPr>
              <w:t xml:space="preserve">   </w:t>
            </w:r>
          </w:p>
        </w:tc>
        <w:tc>
          <w:tcPr>
            <w:tcW w:w="0" w:type="auto"/>
            <w:shd w:val="clear" w:color="000000" w:fill="BDD7EE"/>
            <w:noWrap/>
            <w:vAlign w:val="center"/>
            <w:hideMark/>
          </w:tcPr>
          <w:p w14:paraId="37BBA27D" w14:textId="676D311E"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102B7D">
              <w:rPr>
                <w:rFonts w:eastAsia="Times New Roman" w:cs="Times New Roman"/>
                <w:color w:val="000000"/>
                <w:sz w:val="20"/>
                <w:szCs w:val="20"/>
                <w:lang w:eastAsia="es-GT"/>
              </w:rPr>
              <w:t xml:space="preserve">   </w:t>
            </w:r>
          </w:p>
        </w:tc>
        <w:tc>
          <w:tcPr>
            <w:tcW w:w="0" w:type="auto"/>
            <w:shd w:val="clear" w:color="000000" w:fill="BDD7EE"/>
            <w:noWrap/>
            <w:vAlign w:val="center"/>
            <w:hideMark/>
          </w:tcPr>
          <w:p w14:paraId="34555D58" w14:textId="77777777" w:rsidR="00EE2C68" w:rsidRPr="00102B7D" w:rsidRDefault="00EE2C68" w:rsidP="00AD52FD">
            <w:pPr>
              <w:spacing w:after="0" w:line="240" w:lineRule="auto"/>
              <w:jc w:val="center"/>
              <w:rPr>
                <w:rFonts w:eastAsia="Times New Roman" w:cs="Times New Roman"/>
                <w:color w:val="000000"/>
                <w:sz w:val="20"/>
                <w:szCs w:val="20"/>
                <w:lang w:eastAsia="es-GT"/>
              </w:rPr>
            </w:pPr>
            <w:r w:rsidRPr="00102B7D">
              <w:rPr>
                <w:rFonts w:eastAsia="Times New Roman" w:cs="Times New Roman"/>
                <w:color w:val="000000"/>
                <w:sz w:val="20"/>
                <w:szCs w:val="20"/>
                <w:lang w:eastAsia="es-GT"/>
              </w:rPr>
              <w:t>0%</w:t>
            </w:r>
          </w:p>
        </w:tc>
      </w:tr>
      <w:tr w:rsidR="00EE2C68" w:rsidRPr="00102B7D" w14:paraId="4EA49D09" w14:textId="77777777" w:rsidTr="00164D73">
        <w:trPr>
          <w:trHeight w:val="545"/>
        </w:trPr>
        <w:tc>
          <w:tcPr>
            <w:tcW w:w="0" w:type="auto"/>
            <w:shd w:val="clear" w:color="000000" w:fill="BDD7EE"/>
            <w:vAlign w:val="center"/>
            <w:hideMark/>
          </w:tcPr>
          <w:p w14:paraId="4D0E4A41" w14:textId="77777777" w:rsidR="00EE2C68" w:rsidRPr="00102B7D" w:rsidRDefault="00EE2C68" w:rsidP="00AD52FD">
            <w:pPr>
              <w:spacing w:after="0" w:line="240" w:lineRule="auto"/>
              <w:rPr>
                <w:rFonts w:eastAsia="Times New Roman" w:cs="Times New Roman"/>
                <w:color w:val="000000"/>
                <w:sz w:val="20"/>
                <w:szCs w:val="20"/>
                <w:lang w:eastAsia="es-GT"/>
              </w:rPr>
            </w:pPr>
            <w:r w:rsidRPr="00102B7D">
              <w:rPr>
                <w:rFonts w:eastAsia="Times New Roman" w:cs="Times New Roman"/>
                <w:color w:val="000000"/>
                <w:sz w:val="20"/>
                <w:szCs w:val="20"/>
                <w:lang w:eastAsia="es-GT"/>
              </w:rPr>
              <w:t>8. Desarrollo Cultural</w:t>
            </w:r>
          </w:p>
        </w:tc>
        <w:tc>
          <w:tcPr>
            <w:tcW w:w="0" w:type="auto"/>
            <w:shd w:val="clear" w:color="000000" w:fill="BDD7EE"/>
            <w:noWrap/>
            <w:vAlign w:val="center"/>
            <w:hideMark/>
          </w:tcPr>
          <w:p w14:paraId="38438764"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26,450,000.00 </w:t>
            </w:r>
          </w:p>
        </w:tc>
        <w:tc>
          <w:tcPr>
            <w:tcW w:w="0" w:type="auto"/>
            <w:shd w:val="clear" w:color="000000" w:fill="BDD7EE"/>
            <w:noWrap/>
            <w:vAlign w:val="center"/>
            <w:hideMark/>
          </w:tcPr>
          <w:p w14:paraId="11ADD0C3"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51,961,328.17 </w:t>
            </w:r>
          </w:p>
        </w:tc>
        <w:tc>
          <w:tcPr>
            <w:tcW w:w="0" w:type="auto"/>
            <w:shd w:val="clear" w:color="000000" w:fill="BDD7EE"/>
            <w:noWrap/>
            <w:vAlign w:val="center"/>
            <w:hideMark/>
          </w:tcPr>
          <w:p w14:paraId="542E7C9D"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22,320,461.24 </w:t>
            </w:r>
          </w:p>
        </w:tc>
        <w:tc>
          <w:tcPr>
            <w:tcW w:w="0" w:type="auto"/>
            <w:shd w:val="clear" w:color="000000" w:fill="BDD7EE"/>
            <w:noWrap/>
            <w:vAlign w:val="center"/>
            <w:hideMark/>
          </w:tcPr>
          <w:p w14:paraId="166F8095" w14:textId="77777777" w:rsidR="00EE2C68" w:rsidRPr="00102B7D" w:rsidRDefault="00EE2C68" w:rsidP="00AD52FD">
            <w:pPr>
              <w:spacing w:after="0" w:line="240" w:lineRule="auto"/>
              <w:jc w:val="center"/>
              <w:rPr>
                <w:rFonts w:eastAsia="Times New Roman" w:cs="Times New Roman"/>
                <w:color w:val="000000"/>
                <w:sz w:val="20"/>
                <w:szCs w:val="20"/>
                <w:lang w:eastAsia="es-GT"/>
              </w:rPr>
            </w:pPr>
            <w:r w:rsidRPr="00102B7D">
              <w:rPr>
                <w:rFonts w:eastAsia="Times New Roman" w:cs="Times New Roman"/>
                <w:color w:val="000000"/>
                <w:sz w:val="20"/>
                <w:szCs w:val="20"/>
                <w:lang w:eastAsia="es-GT"/>
              </w:rPr>
              <w:t>43%</w:t>
            </w:r>
          </w:p>
        </w:tc>
      </w:tr>
      <w:tr w:rsidR="00EE2C68" w:rsidRPr="00102B7D" w14:paraId="5D54B656" w14:textId="77777777" w:rsidTr="00164D73">
        <w:trPr>
          <w:trHeight w:val="545"/>
        </w:trPr>
        <w:tc>
          <w:tcPr>
            <w:tcW w:w="0" w:type="auto"/>
            <w:shd w:val="clear" w:color="000000" w:fill="BDD7EE"/>
            <w:vAlign w:val="center"/>
            <w:hideMark/>
          </w:tcPr>
          <w:p w14:paraId="1C2931FF" w14:textId="77777777" w:rsidR="00EE2C68" w:rsidRPr="00102B7D" w:rsidRDefault="00EE2C68" w:rsidP="00AD52FD">
            <w:pPr>
              <w:spacing w:after="0" w:line="240" w:lineRule="auto"/>
              <w:rPr>
                <w:rFonts w:eastAsia="Times New Roman" w:cs="Times New Roman"/>
                <w:color w:val="000000"/>
                <w:sz w:val="20"/>
                <w:szCs w:val="20"/>
                <w:lang w:eastAsia="es-GT"/>
              </w:rPr>
            </w:pPr>
            <w:r w:rsidRPr="00102B7D">
              <w:rPr>
                <w:rFonts w:eastAsia="Times New Roman" w:cs="Times New Roman"/>
                <w:color w:val="000000"/>
                <w:sz w:val="20"/>
                <w:szCs w:val="20"/>
                <w:lang w:eastAsia="es-GT"/>
              </w:rPr>
              <w:t>9. Equidad Laboral</w:t>
            </w:r>
          </w:p>
        </w:tc>
        <w:tc>
          <w:tcPr>
            <w:tcW w:w="0" w:type="auto"/>
            <w:shd w:val="clear" w:color="000000" w:fill="BDD7EE"/>
            <w:noWrap/>
            <w:vAlign w:val="center"/>
            <w:hideMark/>
          </w:tcPr>
          <w:p w14:paraId="736FC14D"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300,402,579.00 </w:t>
            </w:r>
          </w:p>
        </w:tc>
        <w:tc>
          <w:tcPr>
            <w:tcW w:w="0" w:type="auto"/>
            <w:shd w:val="clear" w:color="000000" w:fill="BDD7EE"/>
            <w:noWrap/>
            <w:vAlign w:val="center"/>
            <w:hideMark/>
          </w:tcPr>
          <w:p w14:paraId="2157939F"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440,479,232.00 </w:t>
            </w:r>
          </w:p>
        </w:tc>
        <w:tc>
          <w:tcPr>
            <w:tcW w:w="0" w:type="auto"/>
            <w:shd w:val="clear" w:color="000000" w:fill="BDD7EE"/>
            <w:noWrap/>
            <w:vAlign w:val="center"/>
            <w:hideMark/>
          </w:tcPr>
          <w:p w14:paraId="37C6FCED"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161,330,270.74 </w:t>
            </w:r>
          </w:p>
        </w:tc>
        <w:tc>
          <w:tcPr>
            <w:tcW w:w="0" w:type="auto"/>
            <w:shd w:val="clear" w:color="000000" w:fill="BDD7EE"/>
            <w:noWrap/>
            <w:vAlign w:val="center"/>
            <w:hideMark/>
          </w:tcPr>
          <w:p w14:paraId="67E1D27B" w14:textId="77777777" w:rsidR="00EE2C68" w:rsidRPr="00102B7D" w:rsidRDefault="00EE2C68" w:rsidP="00AD52FD">
            <w:pPr>
              <w:spacing w:after="0" w:line="240" w:lineRule="auto"/>
              <w:jc w:val="center"/>
              <w:rPr>
                <w:rFonts w:eastAsia="Times New Roman" w:cs="Times New Roman"/>
                <w:color w:val="000000"/>
                <w:sz w:val="20"/>
                <w:szCs w:val="20"/>
                <w:lang w:eastAsia="es-GT"/>
              </w:rPr>
            </w:pPr>
            <w:r w:rsidRPr="00102B7D">
              <w:rPr>
                <w:rFonts w:eastAsia="Times New Roman" w:cs="Times New Roman"/>
                <w:color w:val="000000"/>
                <w:sz w:val="20"/>
                <w:szCs w:val="20"/>
                <w:lang w:eastAsia="es-GT"/>
              </w:rPr>
              <w:t>37%</w:t>
            </w:r>
          </w:p>
        </w:tc>
      </w:tr>
      <w:tr w:rsidR="00EE2C68" w:rsidRPr="00102B7D" w14:paraId="3881E109" w14:textId="77777777" w:rsidTr="00164D73">
        <w:trPr>
          <w:trHeight w:val="545"/>
        </w:trPr>
        <w:tc>
          <w:tcPr>
            <w:tcW w:w="0" w:type="auto"/>
            <w:shd w:val="clear" w:color="000000" w:fill="BDD7EE"/>
            <w:vAlign w:val="center"/>
            <w:hideMark/>
          </w:tcPr>
          <w:p w14:paraId="15E3F289" w14:textId="77777777" w:rsidR="00EE2C68" w:rsidRPr="00102B7D" w:rsidRDefault="00EE2C68" w:rsidP="00AD52FD">
            <w:pPr>
              <w:spacing w:after="0" w:line="240" w:lineRule="auto"/>
              <w:rPr>
                <w:rFonts w:eastAsia="Times New Roman" w:cs="Times New Roman"/>
                <w:color w:val="000000"/>
                <w:sz w:val="20"/>
                <w:szCs w:val="20"/>
                <w:lang w:eastAsia="es-GT"/>
              </w:rPr>
            </w:pPr>
            <w:r w:rsidRPr="00102B7D">
              <w:rPr>
                <w:rFonts w:eastAsia="Times New Roman" w:cs="Times New Roman"/>
                <w:color w:val="000000"/>
                <w:sz w:val="20"/>
                <w:szCs w:val="20"/>
                <w:lang w:eastAsia="es-GT"/>
              </w:rPr>
              <w:t>10. Mecanismos Institucionales</w:t>
            </w:r>
          </w:p>
        </w:tc>
        <w:tc>
          <w:tcPr>
            <w:tcW w:w="0" w:type="auto"/>
            <w:shd w:val="clear" w:color="000000" w:fill="BDD7EE"/>
            <w:noWrap/>
            <w:vAlign w:val="center"/>
            <w:hideMark/>
          </w:tcPr>
          <w:p w14:paraId="64DC3DD2" w14:textId="27CADFDE"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102B7D">
              <w:rPr>
                <w:rFonts w:eastAsia="Times New Roman" w:cs="Times New Roman"/>
                <w:color w:val="000000"/>
                <w:sz w:val="20"/>
                <w:szCs w:val="20"/>
                <w:lang w:eastAsia="es-GT"/>
              </w:rPr>
              <w:t xml:space="preserve">  </w:t>
            </w:r>
          </w:p>
        </w:tc>
        <w:tc>
          <w:tcPr>
            <w:tcW w:w="0" w:type="auto"/>
            <w:shd w:val="clear" w:color="000000" w:fill="BDD7EE"/>
            <w:noWrap/>
            <w:vAlign w:val="center"/>
            <w:hideMark/>
          </w:tcPr>
          <w:p w14:paraId="703C8923" w14:textId="520991F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102B7D">
              <w:rPr>
                <w:rFonts w:eastAsia="Times New Roman" w:cs="Times New Roman"/>
                <w:color w:val="000000"/>
                <w:sz w:val="20"/>
                <w:szCs w:val="20"/>
                <w:lang w:eastAsia="es-GT"/>
              </w:rPr>
              <w:t xml:space="preserve">   </w:t>
            </w:r>
          </w:p>
        </w:tc>
        <w:tc>
          <w:tcPr>
            <w:tcW w:w="0" w:type="auto"/>
            <w:shd w:val="clear" w:color="000000" w:fill="BDD7EE"/>
            <w:noWrap/>
            <w:vAlign w:val="center"/>
            <w:hideMark/>
          </w:tcPr>
          <w:p w14:paraId="5D65FA7A" w14:textId="1A105291"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102B7D">
              <w:rPr>
                <w:rFonts w:eastAsia="Times New Roman" w:cs="Times New Roman"/>
                <w:color w:val="000000"/>
                <w:sz w:val="20"/>
                <w:szCs w:val="20"/>
                <w:lang w:eastAsia="es-GT"/>
              </w:rPr>
              <w:t xml:space="preserve">   </w:t>
            </w:r>
          </w:p>
        </w:tc>
        <w:tc>
          <w:tcPr>
            <w:tcW w:w="0" w:type="auto"/>
            <w:shd w:val="clear" w:color="000000" w:fill="BDD7EE"/>
            <w:noWrap/>
            <w:vAlign w:val="center"/>
            <w:hideMark/>
          </w:tcPr>
          <w:p w14:paraId="2C46F06A" w14:textId="77777777" w:rsidR="00EE2C68" w:rsidRPr="00102B7D" w:rsidRDefault="00EE2C68" w:rsidP="00AD52FD">
            <w:pPr>
              <w:spacing w:after="0" w:line="240" w:lineRule="auto"/>
              <w:jc w:val="center"/>
              <w:rPr>
                <w:rFonts w:eastAsia="Times New Roman" w:cs="Times New Roman"/>
                <w:color w:val="000000"/>
                <w:sz w:val="20"/>
                <w:szCs w:val="20"/>
                <w:lang w:eastAsia="es-GT"/>
              </w:rPr>
            </w:pPr>
            <w:r w:rsidRPr="00102B7D">
              <w:rPr>
                <w:rFonts w:eastAsia="Times New Roman" w:cs="Times New Roman"/>
                <w:color w:val="000000"/>
                <w:sz w:val="20"/>
                <w:szCs w:val="20"/>
                <w:lang w:eastAsia="es-GT"/>
              </w:rPr>
              <w:t>0%</w:t>
            </w:r>
          </w:p>
        </w:tc>
      </w:tr>
      <w:tr w:rsidR="00EE2C68" w:rsidRPr="00102B7D" w14:paraId="5D8B159D" w14:textId="77777777" w:rsidTr="00164D73">
        <w:trPr>
          <w:trHeight w:val="545"/>
        </w:trPr>
        <w:tc>
          <w:tcPr>
            <w:tcW w:w="0" w:type="auto"/>
            <w:shd w:val="clear" w:color="000000" w:fill="BDD7EE"/>
            <w:vAlign w:val="center"/>
            <w:hideMark/>
          </w:tcPr>
          <w:p w14:paraId="69A2D788" w14:textId="77777777" w:rsidR="00EE2C68" w:rsidRPr="00102B7D" w:rsidRDefault="00EE2C68" w:rsidP="00AD52FD">
            <w:pPr>
              <w:spacing w:after="0" w:line="240" w:lineRule="auto"/>
              <w:rPr>
                <w:rFonts w:eastAsia="Times New Roman" w:cs="Times New Roman"/>
                <w:color w:val="000000"/>
                <w:sz w:val="20"/>
                <w:szCs w:val="20"/>
                <w:lang w:eastAsia="es-GT"/>
              </w:rPr>
            </w:pPr>
            <w:r w:rsidRPr="00102B7D">
              <w:rPr>
                <w:rFonts w:eastAsia="Times New Roman" w:cs="Times New Roman"/>
                <w:color w:val="000000"/>
                <w:sz w:val="20"/>
                <w:szCs w:val="20"/>
                <w:lang w:eastAsia="es-GT"/>
              </w:rPr>
              <w:t>11. Participación Sociopolítica</w:t>
            </w:r>
          </w:p>
        </w:tc>
        <w:tc>
          <w:tcPr>
            <w:tcW w:w="0" w:type="auto"/>
            <w:shd w:val="clear" w:color="000000" w:fill="BDD7EE"/>
            <w:noWrap/>
            <w:vAlign w:val="center"/>
            <w:hideMark/>
          </w:tcPr>
          <w:p w14:paraId="27335E44"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219,252,588.00 </w:t>
            </w:r>
          </w:p>
        </w:tc>
        <w:tc>
          <w:tcPr>
            <w:tcW w:w="0" w:type="auto"/>
            <w:shd w:val="clear" w:color="000000" w:fill="BDD7EE"/>
            <w:noWrap/>
            <w:vAlign w:val="center"/>
            <w:hideMark/>
          </w:tcPr>
          <w:p w14:paraId="78B412B8"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195,660,456.77 </w:t>
            </w:r>
          </w:p>
        </w:tc>
        <w:tc>
          <w:tcPr>
            <w:tcW w:w="0" w:type="auto"/>
            <w:shd w:val="clear" w:color="000000" w:fill="BDD7EE"/>
            <w:noWrap/>
            <w:vAlign w:val="center"/>
            <w:hideMark/>
          </w:tcPr>
          <w:p w14:paraId="2F3F09A4" w14:textId="7777777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51,060,206.97 </w:t>
            </w:r>
          </w:p>
        </w:tc>
        <w:tc>
          <w:tcPr>
            <w:tcW w:w="0" w:type="auto"/>
            <w:shd w:val="clear" w:color="000000" w:fill="BDD7EE"/>
            <w:noWrap/>
            <w:vAlign w:val="center"/>
            <w:hideMark/>
          </w:tcPr>
          <w:p w14:paraId="2061A887" w14:textId="77777777" w:rsidR="00EE2C68" w:rsidRPr="00102B7D" w:rsidRDefault="00EE2C68" w:rsidP="00AD52FD">
            <w:pPr>
              <w:spacing w:after="0" w:line="240" w:lineRule="auto"/>
              <w:jc w:val="center"/>
              <w:rPr>
                <w:rFonts w:eastAsia="Times New Roman" w:cs="Times New Roman"/>
                <w:color w:val="000000"/>
                <w:sz w:val="20"/>
                <w:szCs w:val="20"/>
                <w:lang w:eastAsia="es-GT"/>
              </w:rPr>
            </w:pPr>
            <w:r w:rsidRPr="00102B7D">
              <w:rPr>
                <w:rFonts w:eastAsia="Times New Roman" w:cs="Times New Roman"/>
                <w:color w:val="000000"/>
                <w:sz w:val="20"/>
                <w:szCs w:val="20"/>
                <w:lang w:eastAsia="es-GT"/>
              </w:rPr>
              <w:t>26%</w:t>
            </w:r>
          </w:p>
        </w:tc>
      </w:tr>
      <w:tr w:rsidR="00EE2C68" w:rsidRPr="00102B7D" w14:paraId="4C736B13" w14:textId="77777777" w:rsidTr="00164D73">
        <w:trPr>
          <w:trHeight w:val="545"/>
        </w:trPr>
        <w:tc>
          <w:tcPr>
            <w:tcW w:w="0" w:type="auto"/>
            <w:shd w:val="clear" w:color="000000" w:fill="BDD7EE"/>
            <w:vAlign w:val="center"/>
            <w:hideMark/>
          </w:tcPr>
          <w:p w14:paraId="3BC90852" w14:textId="77777777" w:rsidR="00EE2C68" w:rsidRPr="00102B7D" w:rsidRDefault="00EE2C68" w:rsidP="00AD52FD">
            <w:pPr>
              <w:spacing w:after="0" w:line="240" w:lineRule="auto"/>
              <w:rPr>
                <w:rFonts w:eastAsia="Times New Roman" w:cs="Times New Roman"/>
                <w:color w:val="000000"/>
                <w:sz w:val="20"/>
                <w:szCs w:val="20"/>
                <w:lang w:eastAsia="es-GT"/>
              </w:rPr>
            </w:pPr>
            <w:r w:rsidRPr="00102B7D">
              <w:rPr>
                <w:rFonts w:eastAsia="Times New Roman" w:cs="Times New Roman"/>
                <w:color w:val="000000"/>
                <w:sz w:val="20"/>
                <w:szCs w:val="20"/>
                <w:lang w:eastAsia="es-GT"/>
              </w:rPr>
              <w:t>12. Identidad Cultural</w:t>
            </w:r>
          </w:p>
        </w:tc>
        <w:tc>
          <w:tcPr>
            <w:tcW w:w="0" w:type="auto"/>
            <w:shd w:val="clear" w:color="000000" w:fill="BDD7EE"/>
            <w:noWrap/>
            <w:vAlign w:val="center"/>
            <w:hideMark/>
          </w:tcPr>
          <w:p w14:paraId="2A50F4ED" w14:textId="367158CB"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102B7D">
              <w:rPr>
                <w:rFonts w:eastAsia="Times New Roman" w:cs="Times New Roman"/>
                <w:color w:val="000000"/>
                <w:sz w:val="20"/>
                <w:szCs w:val="20"/>
                <w:lang w:eastAsia="es-GT"/>
              </w:rPr>
              <w:t xml:space="preserve">   </w:t>
            </w:r>
          </w:p>
        </w:tc>
        <w:tc>
          <w:tcPr>
            <w:tcW w:w="0" w:type="auto"/>
            <w:shd w:val="clear" w:color="000000" w:fill="BDD7EE"/>
            <w:noWrap/>
            <w:vAlign w:val="center"/>
            <w:hideMark/>
          </w:tcPr>
          <w:p w14:paraId="7ED0F858" w14:textId="2DC60646"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102B7D">
              <w:rPr>
                <w:rFonts w:eastAsia="Times New Roman" w:cs="Times New Roman"/>
                <w:color w:val="000000"/>
                <w:sz w:val="20"/>
                <w:szCs w:val="20"/>
                <w:lang w:eastAsia="es-GT"/>
              </w:rPr>
              <w:t xml:space="preserve"> </w:t>
            </w:r>
          </w:p>
        </w:tc>
        <w:tc>
          <w:tcPr>
            <w:tcW w:w="0" w:type="auto"/>
            <w:shd w:val="clear" w:color="000000" w:fill="BDD7EE"/>
            <w:noWrap/>
            <w:vAlign w:val="center"/>
            <w:hideMark/>
          </w:tcPr>
          <w:p w14:paraId="31D4366A" w14:textId="5FAA9927" w:rsidR="00EE2C68" w:rsidRPr="00102B7D" w:rsidRDefault="00EE2C68" w:rsidP="00AD52FD">
            <w:pPr>
              <w:spacing w:after="0" w:line="240" w:lineRule="auto"/>
              <w:jc w:val="right"/>
              <w:rPr>
                <w:rFonts w:eastAsia="Times New Roman" w:cs="Times New Roman"/>
                <w:color w:val="000000"/>
                <w:sz w:val="20"/>
                <w:szCs w:val="20"/>
                <w:lang w:eastAsia="es-GT"/>
              </w:rPr>
            </w:pPr>
            <w:r w:rsidRPr="00102B7D">
              <w:rPr>
                <w:rFonts w:eastAsia="Times New Roman" w:cs="Times New Roman"/>
                <w:color w:val="000000"/>
                <w:sz w:val="20"/>
                <w:szCs w:val="20"/>
                <w:lang w:eastAsia="es-GT"/>
              </w:rPr>
              <w:t xml:space="preserve"> Q                            </w:t>
            </w:r>
            <w:r>
              <w:rPr>
                <w:rFonts w:eastAsia="Times New Roman" w:cs="Times New Roman"/>
                <w:color w:val="000000"/>
                <w:sz w:val="20"/>
                <w:szCs w:val="20"/>
                <w:lang w:eastAsia="es-GT"/>
              </w:rPr>
              <w:t>0.0</w:t>
            </w:r>
            <w:r w:rsidRPr="00102B7D">
              <w:rPr>
                <w:rFonts w:eastAsia="Times New Roman" w:cs="Times New Roman"/>
                <w:color w:val="000000"/>
                <w:sz w:val="20"/>
                <w:szCs w:val="20"/>
                <w:lang w:eastAsia="es-GT"/>
              </w:rPr>
              <w:t xml:space="preserve">   </w:t>
            </w:r>
          </w:p>
        </w:tc>
        <w:tc>
          <w:tcPr>
            <w:tcW w:w="0" w:type="auto"/>
            <w:shd w:val="clear" w:color="000000" w:fill="BDD7EE"/>
            <w:noWrap/>
            <w:vAlign w:val="center"/>
            <w:hideMark/>
          </w:tcPr>
          <w:p w14:paraId="35385075" w14:textId="77777777" w:rsidR="00EE2C68" w:rsidRPr="00102B7D" w:rsidRDefault="00EE2C68" w:rsidP="00AD52FD">
            <w:pPr>
              <w:spacing w:after="0" w:line="240" w:lineRule="auto"/>
              <w:jc w:val="center"/>
              <w:rPr>
                <w:rFonts w:eastAsia="Times New Roman" w:cs="Times New Roman"/>
                <w:color w:val="000000"/>
                <w:sz w:val="20"/>
                <w:szCs w:val="20"/>
                <w:lang w:eastAsia="es-GT"/>
              </w:rPr>
            </w:pPr>
            <w:r w:rsidRPr="00102B7D">
              <w:rPr>
                <w:rFonts w:eastAsia="Times New Roman" w:cs="Times New Roman"/>
                <w:color w:val="000000"/>
                <w:sz w:val="20"/>
                <w:szCs w:val="20"/>
                <w:lang w:eastAsia="es-GT"/>
              </w:rPr>
              <w:t>0%</w:t>
            </w:r>
          </w:p>
        </w:tc>
      </w:tr>
    </w:tbl>
    <w:p w14:paraId="5581B514" w14:textId="400719D6" w:rsidR="000E28EF" w:rsidRDefault="00387A2F" w:rsidP="00A975F1">
      <w:pPr>
        <w:spacing w:after="0" w:line="360" w:lineRule="auto"/>
        <w:jc w:val="both"/>
        <w:rPr>
          <w:rFonts w:ascii="Calibri" w:eastAsia="Times New Roman" w:hAnsi="Calibri" w:cs="Times New Roman"/>
          <w:color w:val="000000"/>
          <w:lang w:eastAsia="es-GT"/>
        </w:rPr>
      </w:pPr>
      <w:r w:rsidRPr="00387A2F">
        <w:rPr>
          <w:color w:val="231F20"/>
          <w:sz w:val="18"/>
          <w:szCs w:val="18"/>
        </w:rPr>
        <w:t xml:space="preserve">Fuente: Sistema de Contabilidad Integrada (SICOIN), </w:t>
      </w:r>
      <w:r w:rsidR="00B9594C">
        <w:rPr>
          <w:color w:val="231F20"/>
          <w:sz w:val="18"/>
          <w:szCs w:val="18"/>
        </w:rPr>
        <w:t>del 1 de enero al 30 de junio</w:t>
      </w:r>
      <w:r w:rsidR="00B9594C" w:rsidRPr="00387A2F">
        <w:rPr>
          <w:color w:val="231F20"/>
          <w:sz w:val="18"/>
          <w:szCs w:val="18"/>
        </w:rPr>
        <w:t xml:space="preserve"> del 2021</w:t>
      </w:r>
    </w:p>
    <w:p w14:paraId="7D1DFC82" w14:textId="026D0410" w:rsidR="000B7170" w:rsidRDefault="000B7170" w:rsidP="00A975F1">
      <w:pPr>
        <w:spacing w:after="0" w:line="360" w:lineRule="auto"/>
        <w:jc w:val="both"/>
        <w:rPr>
          <w:rFonts w:ascii="Calibri" w:eastAsia="Times New Roman" w:hAnsi="Calibri" w:cs="Times New Roman"/>
          <w:color w:val="000000"/>
          <w:lang w:eastAsia="es-GT"/>
        </w:rPr>
      </w:pPr>
    </w:p>
    <w:p w14:paraId="2B417E9B" w14:textId="7E9161C1" w:rsidR="009E2635" w:rsidRDefault="009E2635">
      <w:pPr>
        <w:rPr>
          <w:rFonts w:ascii="Calibri" w:eastAsia="Times New Roman" w:hAnsi="Calibri" w:cs="Times New Roman"/>
          <w:color w:val="000000"/>
          <w:lang w:eastAsia="es-GT"/>
        </w:rPr>
      </w:pPr>
      <w:r>
        <w:rPr>
          <w:rFonts w:ascii="Calibri" w:eastAsia="Times New Roman" w:hAnsi="Calibri" w:cs="Times New Roman"/>
          <w:color w:val="000000"/>
          <w:lang w:eastAsia="es-GT"/>
        </w:rPr>
        <w:br w:type="page"/>
      </w:r>
    </w:p>
    <w:p w14:paraId="68E7F09A" w14:textId="169DFEC2" w:rsidR="00963EE7" w:rsidRPr="00241AAE" w:rsidRDefault="00963EE7" w:rsidP="00153122">
      <w:pPr>
        <w:pStyle w:val="Ttulo3"/>
        <w:spacing w:line="360" w:lineRule="auto"/>
      </w:pPr>
      <w:bookmarkStart w:id="14" w:name="_Toc97558448"/>
      <w:bookmarkStart w:id="15" w:name="_Toc98759536"/>
      <w:r w:rsidRPr="00241AAE">
        <w:lastRenderedPageBreak/>
        <w:t>VINCULACION DE GOBIERNOS LOCALES A</w:t>
      </w:r>
      <w:r w:rsidR="00235ECC">
        <w:t>L CPEG</w:t>
      </w:r>
      <w:bookmarkEnd w:id="14"/>
      <w:bookmarkEnd w:id="15"/>
    </w:p>
    <w:p w14:paraId="57FA7C09" w14:textId="5C462CFD" w:rsidR="00496A02" w:rsidRDefault="00FF78C7" w:rsidP="005A172A">
      <w:pPr>
        <w:tabs>
          <w:tab w:val="left" w:pos="2250"/>
        </w:tabs>
        <w:spacing w:after="0" w:line="360" w:lineRule="auto"/>
        <w:jc w:val="both"/>
      </w:pPr>
      <w:r>
        <w:t>La tabla</w:t>
      </w:r>
      <w:r w:rsidR="00235ECC">
        <w:t xml:space="preserve"> 8</w:t>
      </w:r>
      <w:r>
        <w:t xml:space="preserve"> presenta el comportamiento de la vinculación al CPEG de los gobiernos locales por departamento, </w:t>
      </w:r>
      <w:r w:rsidR="00496A02">
        <w:t>e</w:t>
      </w:r>
      <w:r w:rsidR="00496A02" w:rsidRPr="00496A02">
        <w:t>n términos nominales, Guatemala, Escuintla, Sacatepéquez y Quetzaltenango fueron los que reportaron el mayor monto ejecutado; sin embargo, en términos porcentuales el nivel de ejecución fue bajo para Guatemala y Quetzaltenango.</w:t>
      </w:r>
    </w:p>
    <w:p w14:paraId="61B357F8" w14:textId="77777777" w:rsidR="005A172A" w:rsidRDefault="005A172A" w:rsidP="005A172A">
      <w:pPr>
        <w:tabs>
          <w:tab w:val="left" w:pos="2250"/>
        </w:tabs>
        <w:spacing w:after="0" w:line="360" w:lineRule="auto"/>
        <w:jc w:val="both"/>
      </w:pPr>
    </w:p>
    <w:p w14:paraId="3F5EA723" w14:textId="4AD52D83" w:rsidR="009A622F" w:rsidRPr="00073CA5" w:rsidRDefault="009A622F" w:rsidP="00073CA5">
      <w:pPr>
        <w:pStyle w:val="Tabla"/>
        <w:jc w:val="center"/>
        <w:rPr>
          <w:b/>
          <w:bCs/>
        </w:rPr>
      </w:pPr>
      <w:r w:rsidRPr="00073CA5">
        <w:rPr>
          <w:b/>
          <w:bCs/>
        </w:rPr>
        <w:t xml:space="preserve">Tabla </w:t>
      </w:r>
      <w:r w:rsidR="007C4BFC" w:rsidRPr="00073CA5">
        <w:rPr>
          <w:b/>
          <w:bCs/>
        </w:rPr>
        <w:t>8</w:t>
      </w:r>
    </w:p>
    <w:p w14:paraId="0A8643F8" w14:textId="40A53118" w:rsidR="006C426D" w:rsidRPr="00337B99" w:rsidRDefault="006C426D" w:rsidP="006C426D">
      <w:pPr>
        <w:spacing w:after="0" w:line="240" w:lineRule="auto"/>
        <w:jc w:val="center"/>
        <w:rPr>
          <w:rFonts w:ascii="Calibri" w:eastAsia="Times New Roman" w:hAnsi="Calibri" w:cs="Times New Roman"/>
          <w:b/>
          <w:bCs/>
          <w:color w:val="000000"/>
          <w:lang w:eastAsia="es-GT"/>
        </w:rPr>
      </w:pPr>
      <w:r w:rsidRPr="00337B99">
        <w:rPr>
          <w:rFonts w:ascii="Calibri" w:eastAsia="Times New Roman" w:hAnsi="Calibri" w:cs="Times New Roman"/>
          <w:b/>
          <w:bCs/>
          <w:color w:val="000000"/>
          <w:lang w:eastAsia="es-GT"/>
        </w:rPr>
        <w:t>Presupuesto Vinculado al CPEG en el Primer Semestre 2021</w:t>
      </w:r>
    </w:p>
    <w:p w14:paraId="4D8BE50B" w14:textId="4DB8C13B" w:rsidR="008C7BDF" w:rsidRPr="00235ECC" w:rsidRDefault="006C426D" w:rsidP="00235ECC">
      <w:pPr>
        <w:spacing w:after="0" w:line="240" w:lineRule="auto"/>
        <w:jc w:val="center"/>
        <w:rPr>
          <w:rFonts w:ascii="Calibri" w:eastAsia="Times New Roman" w:hAnsi="Calibri" w:cs="Times New Roman"/>
          <w:b/>
          <w:bCs/>
          <w:color w:val="000000"/>
          <w:lang w:eastAsia="es-GT"/>
        </w:rPr>
      </w:pPr>
      <w:r>
        <w:rPr>
          <w:rFonts w:ascii="Calibri" w:eastAsia="Times New Roman" w:hAnsi="Calibri" w:cs="Times New Roman"/>
          <w:b/>
          <w:bCs/>
          <w:color w:val="000000"/>
          <w:lang w:eastAsia="es-GT"/>
        </w:rPr>
        <w:t>Gobiernos Locales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0"/>
        <w:gridCol w:w="1627"/>
        <w:gridCol w:w="1627"/>
        <w:gridCol w:w="1490"/>
      </w:tblGrid>
      <w:tr w:rsidR="002C459E" w:rsidRPr="00DE2893" w14:paraId="094F66F5" w14:textId="77777777" w:rsidTr="000E5611">
        <w:trPr>
          <w:trHeight w:val="765"/>
          <w:tblHeader/>
          <w:jc w:val="center"/>
        </w:trPr>
        <w:tc>
          <w:tcPr>
            <w:tcW w:w="0" w:type="auto"/>
            <w:vMerge w:val="restart"/>
            <w:shd w:val="clear" w:color="000000" w:fill="002060"/>
            <w:vAlign w:val="center"/>
            <w:hideMark/>
          </w:tcPr>
          <w:p w14:paraId="01DDE69C" w14:textId="77777777" w:rsidR="0016330F" w:rsidRPr="00DE2893" w:rsidRDefault="0016330F" w:rsidP="00153122">
            <w:pPr>
              <w:spacing w:after="0" w:line="360" w:lineRule="auto"/>
              <w:jc w:val="center"/>
              <w:rPr>
                <w:rFonts w:eastAsia="Times New Roman" w:cstheme="minorHAnsi"/>
                <w:b/>
                <w:bCs/>
                <w:color w:val="FFFFFF"/>
                <w:sz w:val="18"/>
                <w:szCs w:val="18"/>
                <w:lang w:eastAsia="es-GT"/>
              </w:rPr>
            </w:pPr>
            <w:r w:rsidRPr="00DE2893">
              <w:rPr>
                <w:rFonts w:eastAsia="Times New Roman" w:cstheme="minorHAnsi"/>
                <w:b/>
                <w:bCs/>
                <w:color w:val="FFFFFF"/>
                <w:sz w:val="18"/>
                <w:szCs w:val="18"/>
                <w:lang w:eastAsia="es-GT"/>
              </w:rPr>
              <w:t>Departamento</w:t>
            </w:r>
          </w:p>
        </w:tc>
        <w:tc>
          <w:tcPr>
            <w:tcW w:w="0" w:type="auto"/>
            <w:shd w:val="clear" w:color="000000" w:fill="002060"/>
            <w:noWrap/>
            <w:vAlign w:val="center"/>
            <w:hideMark/>
          </w:tcPr>
          <w:p w14:paraId="38E4A538" w14:textId="77777777" w:rsidR="0016330F" w:rsidRPr="00DE2893" w:rsidRDefault="0016330F" w:rsidP="00153122">
            <w:pPr>
              <w:spacing w:after="0" w:line="360" w:lineRule="auto"/>
              <w:jc w:val="center"/>
              <w:rPr>
                <w:rFonts w:eastAsia="Times New Roman" w:cstheme="minorHAnsi"/>
                <w:b/>
                <w:bCs/>
                <w:color w:val="FFFFFF"/>
                <w:sz w:val="18"/>
                <w:szCs w:val="18"/>
                <w:lang w:eastAsia="es-GT"/>
              </w:rPr>
            </w:pPr>
            <w:r w:rsidRPr="00DE2893">
              <w:rPr>
                <w:rFonts w:eastAsia="Times New Roman" w:cstheme="minorHAnsi"/>
                <w:b/>
                <w:bCs/>
                <w:color w:val="FFFFFF"/>
                <w:sz w:val="18"/>
                <w:szCs w:val="18"/>
                <w:lang w:eastAsia="es-GT"/>
              </w:rPr>
              <w:t>Aprobado</w:t>
            </w:r>
          </w:p>
        </w:tc>
        <w:tc>
          <w:tcPr>
            <w:tcW w:w="0" w:type="auto"/>
            <w:shd w:val="clear" w:color="000000" w:fill="002060"/>
            <w:noWrap/>
            <w:vAlign w:val="center"/>
            <w:hideMark/>
          </w:tcPr>
          <w:p w14:paraId="36A3382D" w14:textId="77777777" w:rsidR="0016330F" w:rsidRPr="00DE2893" w:rsidRDefault="0016330F" w:rsidP="00153122">
            <w:pPr>
              <w:spacing w:after="0" w:line="360" w:lineRule="auto"/>
              <w:jc w:val="center"/>
              <w:rPr>
                <w:rFonts w:eastAsia="Times New Roman" w:cstheme="minorHAnsi"/>
                <w:b/>
                <w:bCs/>
                <w:color w:val="FFFFFF"/>
                <w:sz w:val="18"/>
                <w:szCs w:val="18"/>
                <w:lang w:eastAsia="es-GT"/>
              </w:rPr>
            </w:pPr>
            <w:r w:rsidRPr="00DE2893">
              <w:rPr>
                <w:rFonts w:eastAsia="Times New Roman" w:cstheme="minorHAnsi"/>
                <w:b/>
                <w:bCs/>
                <w:color w:val="FFFFFF"/>
                <w:sz w:val="18"/>
                <w:szCs w:val="18"/>
                <w:lang w:eastAsia="es-GT"/>
              </w:rPr>
              <w:t>Vigente</w:t>
            </w:r>
          </w:p>
        </w:tc>
        <w:tc>
          <w:tcPr>
            <w:tcW w:w="0" w:type="auto"/>
            <w:shd w:val="clear" w:color="000000" w:fill="002060"/>
            <w:noWrap/>
            <w:vAlign w:val="center"/>
            <w:hideMark/>
          </w:tcPr>
          <w:p w14:paraId="2EAEF73B" w14:textId="77777777" w:rsidR="0016330F" w:rsidRPr="00DE2893" w:rsidRDefault="0016330F" w:rsidP="00153122">
            <w:pPr>
              <w:spacing w:after="0" w:line="360" w:lineRule="auto"/>
              <w:jc w:val="center"/>
              <w:rPr>
                <w:rFonts w:eastAsia="Times New Roman" w:cstheme="minorHAnsi"/>
                <w:b/>
                <w:bCs/>
                <w:color w:val="FFFFFF"/>
                <w:sz w:val="18"/>
                <w:szCs w:val="18"/>
                <w:lang w:eastAsia="es-GT"/>
              </w:rPr>
            </w:pPr>
            <w:r w:rsidRPr="00DE2893">
              <w:rPr>
                <w:rFonts w:eastAsia="Times New Roman" w:cstheme="minorHAnsi"/>
                <w:b/>
                <w:bCs/>
                <w:color w:val="FFFFFF"/>
                <w:sz w:val="18"/>
                <w:szCs w:val="18"/>
                <w:lang w:eastAsia="es-GT"/>
              </w:rPr>
              <w:t>Ejecutado</w:t>
            </w:r>
          </w:p>
        </w:tc>
      </w:tr>
      <w:tr w:rsidR="0016330F" w:rsidRPr="00DE2893" w14:paraId="2CD8CA93" w14:textId="77777777" w:rsidTr="000E5611">
        <w:trPr>
          <w:trHeight w:val="300"/>
          <w:jc w:val="center"/>
        </w:trPr>
        <w:tc>
          <w:tcPr>
            <w:tcW w:w="0" w:type="auto"/>
            <w:vMerge/>
            <w:vAlign w:val="center"/>
            <w:hideMark/>
          </w:tcPr>
          <w:p w14:paraId="462D7449" w14:textId="77777777" w:rsidR="0016330F" w:rsidRPr="00DE2893" w:rsidRDefault="0016330F" w:rsidP="00153122">
            <w:pPr>
              <w:spacing w:after="0" w:line="360" w:lineRule="auto"/>
              <w:rPr>
                <w:rFonts w:eastAsia="Times New Roman" w:cstheme="minorHAnsi"/>
                <w:b/>
                <w:bCs/>
                <w:color w:val="FFFFFF"/>
                <w:sz w:val="18"/>
                <w:szCs w:val="18"/>
                <w:lang w:eastAsia="es-GT"/>
              </w:rPr>
            </w:pPr>
          </w:p>
        </w:tc>
        <w:tc>
          <w:tcPr>
            <w:tcW w:w="0" w:type="auto"/>
            <w:gridSpan w:val="3"/>
            <w:shd w:val="clear" w:color="000000" w:fill="002060"/>
            <w:noWrap/>
            <w:vAlign w:val="center"/>
            <w:hideMark/>
          </w:tcPr>
          <w:p w14:paraId="58D2DF99" w14:textId="77777777" w:rsidR="0016330F" w:rsidRPr="00DE2893" w:rsidRDefault="0016330F" w:rsidP="00153122">
            <w:pPr>
              <w:spacing w:after="0" w:line="360" w:lineRule="auto"/>
              <w:jc w:val="center"/>
              <w:rPr>
                <w:rFonts w:eastAsia="Times New Roman" w:cstheme="minorHAnsi"/>
                <w:b/>
                <w:bCs/>
                <w:color w:val="FFFFFF"/>
                <w:sz w:val="18"/>
                <w:szCs w:val="18"/>
                <w:lang w:eastAsia="es-GT"/>
              </w:rPr>
            </w:pPr>
            <w:r w:rsidRPr="00DE2893">
              <w:rPr>
                <w:rFonts w:eastAsia="Times New Roman" w:cstheme="minorHAnsi"/>
                <w:b/>
                <w:bCs/>
                <w:color w:val="FFFFFF"/>
                <w:sz w:val="18"/>
                <w:szCs w:val="18"/>
                <w:lang w:eastAsia="es-GT"/>
              </w:rPr>
              <w:t>semestre 2021</w:t>
            </w:r>
          </w:p>
        </w:tc>
      </w:tr>
      <w:tr w:rsidR="0016330F" w:rsidRPr="00DE2893" w14:paraId="28EB30CE" w14:textId="77777777" w:rsidTr="000E5611">
        <w:trPr>
          <w:trHeight w:val="348"/>
          <w:jc w:val="center"/>
        </w:trPr>
        <w:tc>
          <w:tcPr>
            <w:tcW w:w="0" w:type="auto"/>
            <w:shd w:val="clear" w:color="000000" w:fill="BDD7EE"/>
            <w:noWrap/>
            <w:vAlign w:val="center"/>
            <w:hideMark/>
          </w:tcPr>
          <w:p w14:paraId="13E022A7"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Alta Verapaz</w:t>
            </w:r>
          </w:p>
        </w:tc>
        <w:tc>
          <w:tcPr>
            <w:tcW w:w="0" w:type="auto"/>
            <w:shd w:val="clear" w:color="000000" w:fill="BDD7EE"/>
            <w:noWrap/>
            <w:vAlign w:val="center"/>
            <w:hideMark/>
          </w:tcPr>
          <w:p w14:paraId="189E0B74"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6,357,216.06 </w:t>
            </w:r>
          </w:p>
        </w:tc>
        <w:tc>
          <w:tcPr>
            <w:tcW w:w="0" w:type="auto"/>
            <w:shd w:val="clear" w:color="000000" w:fill="BDD7EE"/>
            <w:noWrap/>
            <w:vAlign w:val="center"/>
            <w:hideMark/>
          </w:tcPr>
          <w:p w14:paraId="022A301F"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6,624,234.06 </w:t>
            </w:r>
          </w:p>
        </w:tc>
        <w:tc>
          <w:tcPr>
            <w:tcW w:w="0" w:type="auto"/>
            <w:shd w:val="clear" w:color="000000" w:fill="BDD7EE"/>
            <w:noWrap/>
            <w:vAlign w:val="center"/>
            <w:hideMark/>
          </w:tcPr>
          <w:p w14:paraId="2784B39C"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909,084.94 </w:t>
            </w:r>
          </w:p>
        </w:tc>
      </w:tr>
      <w:tr w:rsidR="0016330F" w:rsidRPr="00DE2893" w14:paraId="2F1BCD81" w14:textId="77777777" w:rsidTr="000E5611">
        <w:trPr>
          <w:trHeight w:val="300"/>
          <w:jc w:val="center"/>
        </w:trPr>
        <w:tc>
          <w:tcPr>
            <w:tcW w:w="0" w:type="auto"/>
            <w:shd w:val="clear" w:color="000000" w:fill="FFFFFF"/>
            <w:noWrap/>
            <w:vAlign w:val="center"/>
            <w:hideMark/>
          </w:tcPr>
          <w:p w14:paraId="61BC241A"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Baja Verapaz</w:t>
            </w:r>
          </w:p>
        </w:tc>
        <w:tc>
          <w:tcPr>
            <w:tcW w:w="0" w:type="auto"/>
            <w:shd w:val="clear" w:color="auto" w:fill="auto"/>
            <w:noWrap/>
            <w:vAlign w:val="center"/>
            <w:hideMark/>
          </w:tcPr>
          <w:p w14:paraId="09C1EE69"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1,500,784.66 </w:t>
            </w:r>
          </w:p>
        </w:tc>
        <w:tc>
          <w:tcPr>
            <w:tcW w:w="0" w:type="auto"/>
            <w:shd w:val="clear" w:color="auto" w:fill="auto"/>
            <w:noWrap/>
            <w:vAlign w:val="center"/>
            <w:hideMark/>
          </w:tcPr>
          <w:p w14:paraId="6FE3FA5F"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1,596,934.13 </w:t>
            </w:r>
          </w:p>
        </w:tc>
        <w:tc>
          <w:tcPr>
            <w:tcW w:w="0" w:type="auto"/>
            <w:shd w:val="clear" w:color="auto" w:fill="auto"/>
            <w:noWrap/>
            <w:vAlign w:val="center"/>
            <w:hideMark/>
          </w:tcPr>
          <w:p w14:paraId="1809129D"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449,001.92 </w:t>
            </w:r>
          </w:p>
        </w:tc>
      </w:tr>
      <w:tr w:rsidR="0016330F" w:rsidRPr="00DE2893" w14:paraId="225A730F" w14:textId="77777777" w:rsidTr="000E5611">
        <w:trPr>
          <w:trHeight w:val="300"/>
          <w:jc w:val="center"/>
        </w:trPr>
        <w:tc>
          <w:tcPr>
            <w:tcW w:w="0" w:type="auto"/>
            <w:shd w:val="clear" w:color="000000" w:fill="BDD7EE"/>
            <w:noWrap/>
            <w:vAlign w:val="center"/>
            <w:hideMark/>
          </w:tcPr>
          <w:p w14:paraId="58A797BE"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Chimaltenango</w:t>
            </w:r>
          </w:p>
        </w:tc>
        <w:tc>
          <w:tcPr>
            <w:tcW w:w="0" w:type="auto"/>
            <w:shd w:val="clear" w:color="000000" w:fill="BDD7EE"/>
            <w:noWrap/>
            <w:vAlign w:val="center"/>
            <w:hideMark/>
          </w:tcPr>
          <w:p w14:paraId="3075319C"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22,305,171.91 </w:t>
            </w:r>
          </w:p>
        </w:tc>
        <w:tc>
          <w:tcPr>
            <w:tcW w:w="0" w:type="auto"/>
            <w:shd w:val="clear" w:color="000000" w:fill="BDD7EE"/>
            <w:noWrap/>
            <w:vAlign w:val="center"/>
            <w:hideMark/>
          </w:tcPr>
          <w:p w14:paraId="1AFD027E"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20,299,640.35 </w:t>
            </w:r>
          </w:p>
        </w:tc>
        <w:tc>
          <w:tcPr>
            <w:tcW w:w="0" w:type="auto"/>
            <w:shd w:val="clear" w:color="000000" w:fill="BDD7EE"/>
            <w:noWrap/>
            <w:vAlign w:val="center"/>
            <w:hideMark/>
          </w:tcPr>
          <w:p w14:paraId="775566EC"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9,219,345.13 </w:t>
            </w:r>
          </w:p>
        </w:tc>
      </w:tr>
      <w:tr w:rsidR="0016330F" w:rsidRPr="00DE2893" w14:paraId="4E1D1D6A" w14:textId="77777777" w:rsidTr="000E5611">
        <w:trPr>
          <w:trHeight w:val="300"/>
          <w:jc w:val="center"/>
        </w:trPr>
        <w:tc>
          <w:tcPr>
            <w:tcW w:w="0" w:type="auto"/>
            <w:shd w:val="clear" w:color="000000" w:fill="FFFFFF"/>
            <w:noWrap/>
            <w:vAlign w:val="center"/>
            <w:hideMark/>
          </w:tcPr>
          <w:p w14:paraId="02FCBBBA"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Chiquimula</w:t>
            </w:r>
          </w:p>
        </w:tc>
        <w:tc>
          <w:tcPr>
            <w:tcW w:w="0" w:type="auto"/>
            <w:shd w:val="clear" w:color="auto" w:fill="auto"/>
            <w:noWrap/>
            <w:vAlign w:val="center"/>
            <w:hideMark/>
          </w:tcPr>
          <w:p w14:paraId="34BA87AB"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32,431,434.75 </w:t>
            </w:r>
          </w:p>
        </w:tc>
        <w:tc>
          <w:tcPr>
            <w:tcW w:w="0" w:type="auto"/>
            <w:shd w:val="clear" w:color="auto" w:fill="auto"/>
            <w:noWrap/>
            <w:vAlign w:val="center"/>
            <w:hideMark/>
          </w:tcPr>
          <w:p w14:paraId="72F36E55"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29,281,599.94 </w:t>
            </w:r>
          </w:p>
        </w:tc>
        <w:tc>
          <w:tcPr>
            <w:tcW w:w="0" w:type="auto"/>
            <w:shd w:val="clear" w:color="auto" w:fill="auto"/>
            <w:noWrap/>
            <w:vAlign w:val="center"/>
            <w:hideMark/>
          </w:tcPr>
          <w:p w14:paraId="7FDCA118"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9,616,258.61 </w:t>
            </w:r>
          </w:p>
        </w:tc>
      </w:tr>
      <w:tr w:rsidR="0016330F" w:rsidRPr="00DE2893" w14:paraId="2B5D8A81" w14:textId="77777777" w:rsidTr="000E5611">
        <w:trPr>
          <w:trHeight w:val="300"/>
          <w:jc w:val="center"/>
        </w:trPr>
        <w:tc>
          <w:tcPr>
            <w:tcW w:w="0" w:type="auto"/>
            <w:shd w:val="clear" w:color="000000" w:fill="BDD7EE"/>
            <w:noWrap/>
            <w:vAlign w:val="center"/>
            <w:hideMark/>
          </w:tcPr>
          <w:p w14:paraId="4DFE438C"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El Progreso</w:t>
            </w:r>
          </w:p>
        </w:tc>
        <w:tc>
          <w:tcPr>
            <w:tcW w:w="0" w:type="auto"/>
            <w:shd w:val="clear" w:color="000000" w:fill="BDD7EE"/>
            <w:noWrap/>
            <w:vAlign w:val="center"/>
            <w:hideMark/>
          </w:tcPr>
          <w:p w14:paraId="2E723C1C"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20,584,955.49 </w:t>
            </w:r>
          </w:p>
        </w:tc>
        <w:tc>
          <w:tcPr>
            <w:tcW w:w="0" w:type="auto"/>
            <w:shd w:val="clear" w:color="000000" w:fill="BDD7EE"/>
            <w:noWrap/>
            <w:vAlign w:val="center"/>
            <w:hideMark/>
          </w:tcPr>
          <w:p w14:paraId="6F78C760"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22,084,039.85 </w:t>
            </w:r>
          </w:p>
        </w:tc>
        <w:tc>
          <w:tcPr>
            <w:tcW w:w="0" w:type="auto"/>
            <w:shd w:val="clear" w:color="000000" w:fill="BDD7EE"/>
            <w:noWrap/>
            <w:vAlign w:val="center"/>
            <w:hideMark/>
          </w:tcPr>
          <w:p w14:paraId="0785997A"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9,049,854.32 </w:t>
            </w:r>
          </w:p>
        </w:tc>
      </w:tr>
      <w:tr w:rsidR="0016330F" w:rsidRPr="00DE2893" w14:paraId="2E6ADDB9" w14:textId="77777777" w:rsidTr="000E5611">
        <w:trPr>
          <w:trHeight w:val="300"/>
          <w:jc w:val="center"/>
        </w:trPr>
        <w:tc>
          <w:tcPr>
            <w:tcW w:w="0" w:type="auto"/>
            <w:shd w:val="clear" w:color="000000" w:fill="FFFFFF"/>
            <w:noWrap/>
            <w:vAlign w:val="center"/>
            <w:hideMark/>
          </w:tcPr>
          <w:p w14:paraId="3E973EA5"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Escuintla</w:t>
            </w:r>
          </w:p>
        </w:tc>
        <w:tc>
          <w:tcPr>
            <w:tcW w:w="0" w:type="auto"/>
            <w:shd w:val="clear" w:color="auto" w:fill="auto"/>
            <w:noWrap/>
            <w:vAlign w:val="center"/>
            <w:hideMark/>
          </w:tcPr>
          <w:p w14:paraId="4B4B1A3B"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158,949,048.98 </w:t>
            </w:r>
          </w:p>
        </w:tc>
        <w:tc>
          <w:tcPr>
            <w:tcW w:w="0" w:type="auto"/>
            <w:shd w:val="clear" w:color="auto" w:fill="auto"/>
            <w:noWrap/>
            <w:vAlign w:val="center"/>
            <w:hideMark/>
          </w:tcPr>
          <w:p w14:paraId="1B3A1E8E"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197,180,830.04 </w:t>
            </w:r>
          </w:p>
        </w:tc>
        <w:tc>
          <w:tcPr>
            <w:tcW w:w="0" w:type="auto"/>
            <w:shd w:val="clear" w:color="auto" w:fill="auto"/>
            <w:noWrap/>
            <w:vAlign w:val="center"/>
            <w:hideMark/>
          </w:tcPr>
          <w:p w14:paraId="1FB2EE40"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94,641,303.59 </w:t>
            </w:r>
          </w:p>
        </w:tc>
      </w:tr>
      <w:tr w:rsidR="0016330F" w:rsidRPr="00DE2893" w14:paraId="66BC1DFE" w14:textId="77777777" w:rsidTr="000E5611">
        <w:trPr>
          <w:trHeight w:val="300"/>
          <w:jc w:val="center"/>
        </w:trPr>
        <w:tc>
          <w:tcPr>
            <w:tcW w:w="0" w:type="auto"/>
            <w:shd w:val="clear" w:color="000000" w:fill="BDD7EE"/>
            <w:noWrap/>
            <w:vAlign w:val="center"/>
            <w:hideMark/>
          </w:tcPr>
          <w:p w14:paraId="54C8DF31"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Guatemala</w:t>
            </w:r>
          </w:p>
        </w:tc>
        <w:tc>
          <w:tcPr>
            <w:tcW w:w="0" w:type="auto"/>
            <w:shd w:val="clear" w:color="000000" w:fill="BDD7EE"/>
            <w:noWrap/>
            <w:vAlign w:val="center"/>
            <w:hideMark/>
          </w:tcPr>
          <w:p w14:paraId="3927449A"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348,646,181.46 </w:t>
            </w:r>
          </w:p>
        </w:tc>
        <w:tc>
          <w:tcPr>
            <w:tcW w:w="0" w:type="auto"/>
            <w:shd w:val="clear" w:color="000000" w:fill="BDD7EE"/>
            <w:noWrap/>
            <w:vAlign w:val="center"/>
            <w:hideMark/>
          </w:tcPr>
          <w:p w14:paraId="327F8DB4"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481,321,102.25 </w:t>
            </w:r>
          </w:p>
        </w:tc>
        <w:tc>
          <w:tcPr>
            <w:tcW w:w="0" w:type="auto"/>
            <w:shd w:val="clear" w:color="000000" w:fill="BDD7EE"/>
            <w:noWrap/>
            <w:vAlign w:val="center"/>
            <w:hideMark/>
          </w:tcPr>
          <w:p w14:paraId="626C1059"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142,658,187.81 </w:t>
            </w:r>
          </w:p>
        </w:tc>
      </w:tr>
      <w:tr w:rsidR="0016330F" w:rsidRPr="00DE2893" w14:paraId="626C7280" w14:textId="77777777" w:rsidTr="000E5611">
        <w:trPr>
          <w:trHeight w:val="300"/>
          <w:jc w:val="center"/>
        </w:trPr>
        <w:tc>
          <w:tcPr>
            <w:tcW w:w="0" w:type="auto"/>
            <w:shd w:val="clear" w:color="000000" w:fill="FFFFFF"/>
            <w:noWrap/>
            <w:vAlign w:val="center"/>
            <w:hideMark/>
          </w:tcPr>
          <w:p w14:paraId="59D7762F"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Huehuetenango</w:t>
            </w:r>
          </w:p>
        </w:tc>
        <w:tc>
          <w:tcPr>
            <w:tcW w:w="0" w:type="auto"/>
            <w:shd w:val="clear" w:color="auto" w:fill="auto"/>
            <w:noWrap/>
            <w:vAlign w:val="center"/>
            <w:hideMark/>
          </w:tcPr>
          <w:p w14:paraId="39DDCBE8"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72,710,819.15 </w:t>
            </w:r>
          </w:p>
        </w:tc>
        <w:tc>
          <w:tcPr>
            <w:tcW w:w="0" w:type="auto"/>
            <w:shd w:val="clear" w:color="auto" w:fill="auto"/>
            <w:noWrap/>
            <w:vAlign w:val="center"/>
            <w:hideMark/>
          </w:tcPr>
          <w:p w14:paraId="0CE44D2A"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113,143,577.10 </w:t>
            </w:r>
          </w:p>
        </w:tc>
        <w:tc>
          <w:tcPr>
            <w:tcW w:w="0" w:type="auto"/>
            <w:shd w:val="clear" w:color="auto" w:fill="auto"/>
            <w:noWrap/>
            <w:vAlign w:val="center"/>
            <w:hideMark/>
          </w:tcPr>
          <w:p w14:paraId="2D70FB7B"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43,364,614.34 </w:t>
            </w:r>
          </w:p>
        </w:tc>
      </w:tr>
      <w:tr w:rsidR="0016330F" w:rsidRPr="00DE2893" w14:paraId="506A5542" w14:textId="77777777" w:rsidTr="000E5611">
        <w:trPr>
          <w:trHeight w:val="300"/>
          <w:jc w:val="center"/>
        </w:trPr>
        <w:tc>
          <w:tcPr>
            <w:tcW w:w="0" w:type="auto"/>
            <w:shd w:val="clear" w:color="000000" w:fill="BDD7EE"/>
            <w:noWrap/>
            <w:vAlign w:val="center"/>
            <w:hideMark/>
          </w:tcPr>
          <w:p w14:paraId="75718A03"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Izabal</w:t>
            </w:r>
          </w:p>
        </w:tc>
        <w:tc>
          <w:tcPr>
            <w:tcW w:w="0" w:type="auto"/>
            <w:shd w:val="clear" w:color="000000" w:fill="BDD7EE"/>
            <w:noWrap/>
            <w:vAlign w:val="center"/>
            <w:hideMark/>
          </w:tcPr>
          <w:p w14:paraId="1FC89C6A"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789,714.00 </w:t>
            </w:r>
          </w:p>
        </w:tc>
        <w:tc>
          <w:tcPr>
            <w:tcW w:w="0" w:type="auto"/>
            <w:shd w:val="clear" w:color="000000" w:fill="BDD7EE"/>
            <w:noWrap/>
            <w:vAlign w:val="center"/>
            <w:hideMark/>
          </w:tcPr>
          <w:p w14:paraId="6E2543C8"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764,714.00 </w:t>
            </w:r>
          </w:p>
        </w:tc>
        <w:tc>
          <w:tcPr>
            <w:tcW w:w="0" w:type="auto"/>
            <w:shd w:val="clear" w:color="000000" w:fill="BDD7EE"/>
            <w:noWrap/>
            <w:vAlign w:val="center"/>
            <w:hideMark/>
          </w:tcPr>
          <w:p w14:paraId="26A62F1E"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398,801.54 </w:t>
            </w:r>
          </w:p>
        </w:tc>
      </w:tr>
      <w:tr w:rsidR="0016330F" w:rsidRPr="00DE2893" w14:paraId="56A0170B" w14:textId="77777777" w:rsidTr="000E5611">
        <w:trPr>
          <w:trHeight w:val="300"/>
          <w:jc w:val="center"/>
        </w:trPr>
        <w:tc>
          <w:tcPr>
            <w:tcW w:w="0" w:type="auto"/>
            <w:shd w:val="clear" w:color="000000" w:fill="FFFFFF"/>
            <w:noWrap/>
            <w:vAlign w:val="center"/>
            <w:hideMark/>
          </w:tcPr>
          <w:p w14:paraId="1A55AA22"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Jalapa</w:t>
            </w:r>
          </w:p>
        </w:tc>
        <w:tc>
          <w:tcPr>
            <w:tcW w:w="0" w:type="auto"/>
            <w:shd w:val="clear" w:color="auto" w:fill="auto"/>
            <w:noWrap/>
            <w:vAlign w:val="center"/>
            <w:hideMark/>
          </w:tcPr>
          <w:p w14:paraId="636C9611"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1,710,806.72 </w:t>
            </w:r>
          </w:p>
        </w:tc>
        <w:tc>
          <w:tcPr>
            <w:tcW w:w="0" w:type="auto"/>
            <w:shd w:val="clear" w:color="auto" w:fill="auto"/>
            <w:noWrap/>
            <w:vAlign w:val="center"/>
            <w:hideMark/>
          </w:tcPr>
          <w:p w14:paraId="57C60176"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1,638,046.72 </w:t>
            </w:r>
          </w:p>
        </w:tc>
        <w:tc>
          <w:tcPr>
            <w:tcW w:w="0" w:type="auto"/>
            <w:shd w:val="clear" w:color="auto" w:fill="auto"/>
            <w:noWrap/>
            <w:vAlign w:val="center"/>
            <w:hideMark/>
          </w:tcPr>
          <w:p w14:paraId="6232EC4C"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781,260.12 </w:t>
            </w:r>
          </w:p>
        </w:tc>
      </w:tr>
      <w:tr w:rsidR="0016330F" w:rsidRPr="00DE2893" w14:paraId="7F9C7461" w14:textId="77777777" w:rsidTr="000E5611">
        <w:trPr>
          <w:trHeight w:val="300"/>
          <w:jc w:val="center"/>
        </w:trPr>
        <w:tc>
          <w:tcPr>
            <w:tcW w:w="0" w:type="auto"/>
            <w:shd w:val="clear" w:color="000000" w:fill="BDD7EE"/>
            <w:noWrap/>
            <w:vAlign w:val="center"/>
            <w:hideMark/>
          </w:tcPr>
          <w:p w14:paraId="56A0EF5D"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Jutiapa</w:t>
            </w:r>
          </w:p>
        </w:tc>
        <w:tc>
          <w:tcPr>
            <w:tcW w:w="0" w:type="auto"/>
            <w:shd w:val="clear" w:color="000000" w:fill="BDD7EE"/>
            <w:noWrap/>
            <w:vAlign w:val="center"/>
            <w:hideMark/>
          </w:tcPr>
          <w:p w14:paraId="770BB1FA"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19,673,375.79 </w:t>
            </w:r>
          </w:p>
        </w:tc>
        <w:tc>
          <w:tcPr>
            <w:tcW w:w="0" w:type="auto"/>
            <w:shd w:val="clear" w:color="000000" w:fill="BDD7EE"/>
            <w:noWrap/>
            <w:vAlign w:val="center"/>
            <w:hideMark/>
          </w:tcPr>
          <w:p w14:paraId="16B7B2F1"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41,554,562.07 </w:t>
            </w:r>
          </w:p>
        </w:tc>
        <w:tc>
          <w:tcPr>
            <w:tcW w:w="0" w:type="auto"/>
            <w:shd w:val="clear" w:color="000000" w:fill="BDD7EE"/>
            <w:noWrap/>
            <w:vAlign w:val="center"/>
            <w:hideMark/>
          </w:tcPr>
          <w:p w14:paraId="2058896A"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13,752,796.54 </w:t>
            </w:r>
          </w:p>
        </w:tc>
      </w:tr>
      <w:tr w:rsidR="0016330F" w:rsidRPr="00DE2893" w14:paraId="09EC29CB" w14:textId="77777777" w:rsidTr="000E5611">
        <w:trPr>
          <w:trHeight w:val="300"/>
          <w:jc w:val="center"/>
        </w:trPr>
        <w:tc>
          <w:tcPr>
            <w:tcW w:w="0" w:type="auto"/>
            <w:shd w:val="clear" w:color="000000" w:fill="FFFFFF"/>
            <w:noWrap/>
            <w:vAlign w:val="center"/>
            <w:hideMark/>
          </w:tcPr>
          <w:p w14:paraId="3029BB61"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Petén</w:t>
            </w:r>
          </w:p>
        </w:tc>
        <w:tc>
          <w:tcPr>
            <w:tcW w:w="0" w:type="auto"/>
            <w:shd w:val="clear" w:color="auto" w:fill="auto"/>
            <w:noWrap/>
            <w:vAlign w:val="center"/>
            <w:hideMark/>
          </w:tcPr>
          <w:p w14:paraId="4C0641BE"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51,954,334.37 </w:t>
            </w:r>
          </w:p>
        </w:tc>
        <w:tc>
          <w:tcPr>
            <w:tcW w:w="0" w:type="auto"/>
            <w:shd w:val="clear" w:color="auto" w:fill="auto"/>
            <w:noWrap/>
            <w:vAlign w:val="center"/>
            <w:hideMark/>
          </w:tcPr>
          <w:p w14:paraId="2714F722"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102,567,427.25 </w:t>
            </w:r>
          </w:p>
        </w:tc>
        <w:tc>
          <w:tcPr>
            <w:tcW w:w="0" w:type="auto"/>
            <w:shd w:val="clear" w:color="auto" w:fill="auto"/>
            <w:noWrap/>
            <w:vAlign w:val="center"/>
            <w:hideMark/>
          </w:tcPr>
          <w:p w14:paraId="6A599669"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50,667,441.50 </w:t>
            </w:r>
          </w:p>
        </w:tc>
      </w:tr>
      <w:tr w:rsidR="0016330F" w:rsidRPr="00DE2893" w14:paraId="491D933A" w14:textId="77777777" w:rsidTr="000E5611">
        <w:trPr>
          <w:trHeight w:val="300"/>
          <w:jc w:val="center"/>
        </w:trPr>
        <w:tc>
          <w:tcPr>
            <w:tcW w:w="0" w:type="auto"/>
            <w:shd w:val="clear" w:color="000000" w:fill="BDD7EE"/>
            <w:noWrap/>
            <w:vAlign w:val="center"/>
            <w:hideMark/>
          </w:tcPr>
          <w:p w14:paraId="440BF696"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Quetzaltenango</w:t>
            </w:r>
          </w:p>
        </w:tc>
        <w:tc>
          <w:tcPr>
            <w:tcW w:w="0" w:type="auto"/>
            <w:shd w:val="clear" w:color="000000" w:fill="BDD7EE"/>
            <w:noWrap/>
            <w:vAlign w:val="center"/>
            <w:hideMark/>
          </w:tcPr>
          <w:p w14:paraId="19FFA7EB"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83,101,396.43 </w:t>
            </w:r>
          </w:p>
        </w:tc>
        <w:tc>
          <w:tcPr>
            <w:tcW w:w="0" w:type="auto"/>
            <w:shd w:val="clear" w:color="000000" w:fill="BDD7EE"/>
            <w:noWrap/>
            <w:vAlign w:val="center"/>
            <w:hideMark/>
          </w:tcPr>
          <w:p w14:paraId="7FD9AA86"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236,784,230.47 </w:t>
            </w:r>
          </w:p>
        </w:tc>
        <w:tc>
          <w:tcPr>
            <w:tcW w:w="0" w:type="auto"/>
            <w:shd w:val="clear" w:color="000000" w:fill="BDD7EE"/>
            <w:noWrap/>
            <w:vAlign w:val="center"/>
            <w:hideMark/>
          </w:tcPr>
          <w:p w14:paraId="5C6FD3CF"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77,925,116.05 </w:t>
            </w:r>
          </w:p>
        </w:tc>
      </w:tr>
      <w:tr w:rsidR="0016330F" w:rsidRPr="00DE2893" w14:paraId="273A63CC" w14:textId="77777777" w:rsidTr="000E5611">
        <w:trPr>
          <w:trHeight w:val="300"/>
          <w:jc w:val="center"/>
        </w:trPr>
        <w:tc>
          <w:tcPr>
            <w:tcW w:w="0" w:type="auto"/>
            <w:shd w:val="clear" w:color="000000" w:fill="FFFFFF"/>
            <w:noWrap/>
            <w:vAlign w:val="center"/>
            <w:hideMark/>
          </w:tcPr>
          <w:p w14:paraId="0EA5E88C"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Quiché</w:t>
            </w:r>
          </w:p>
        </w:tc>
        <w:tc>
          <w:tcPr>
            <w:tcW w:w="0" w:type="auto"/>
            <w:shd w:val="clear" w:color="auto" w:fill="auto"/>
            <w:noWrap/>
            <w:vAlign w:val="center"/>
            <w:hideMark/>
          </w:tcPr>
          <w:p w14:paraId="0DD6F97C"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26,263,874.58 </w:t>
            </w:r>
          </w:p>
        </w:tc>
        <w:tc>
          <w:tcPr>
            <w:tcW w:w="0" w:type="auto"/>
            <w:shd w:val="clear" w:color="auto" w:fill="auto"/>
            <w:noWrap/>
            <w:vAlign w:val="center"/>
            <w:hideMark/>
          </w:tcPr>
          <w:p w14:paraId="0B2DCD7C"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38,188,749.29 </w:t>
            </w:r>
          </w:p>
        </w:tc>
        <w:tc>
          <w:tcPr>
            <w:tcW w:w="0" w:type="auto"/>
            <w:shd w:val="clear" w:color="auto" w:fill="auto"/>
            <w:noWrap/>
            <w:vAlign w:val="center"/>
            <w:hideMark/>
          </w:tcPr>
          <w:p w14:paraId="7730D3CD"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15,530,976.34 </w:t>
            </w:r>
          </w:p>
        </w:tc>
      </w:tr>
      <w:tr w:rsidR="0016330F" w:rsidRPr="00DE2893" w14:paraId="1C79A2C2" w14:textId="77777777" w:rsidTr="000E5611">
        <w:trPr>
          <w:trHeight w:val="300"/>
          <w:jc w:val="center"/>
        </w:trPr>
        <w:tc>
          <w:tcPr>
            <w:tcW w:w="0" w:type="auto"/>
            <w:shd w:val="clear" w:color="000000" w:fill="BDD7EE"/>
            <w:noWrap/>
            <w:vAlign w:val="center"/>
            <w:hideMark/>
          </w:tcPr>
          <w:p w14:paraId="06135A8F"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Retalhuleu</w:t>
            </w:r>
          </w:p>
        </w:tc>
        <w:tc>
          <w:tcPr>
            <w:tcW w:w="0" w:type="auto"/>
            <w:shd w:val="clear" w:color="000000" w:fill="BDD7EE"/>
            <w:noWrap/>
            <w:vAlign w:val="center"/>
            <w:hideMark/>
          </w:tcPr>
          <w:p w14:paraId="2F85E46F"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7,108,965.55 </w:t>
            </w:r>
          </w:p>
        </w:tc>
        <w:tc>
          <w:tcPr>
            <w:tcW w:w="0" w:type="auto"/>
            <w:shd w:val="clear" w:color="000000" w:fill="BDD7EE"/>
            <w:noWrap/>
            <w:vAlign w:val="center"/>
            <w:hideMark/>
          </w:tcPr>
          <w:p w14:paraId="3E9950EA"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7,389,236.65 </w:t>
            </w:r>
          </w:p>
        </w:tc>
        <w:tc>
          <w:tcPr>
            <w:tcW w:w="0" w:type="auto"/>
            <w:shd w:val="clear" w:color="000000" w:fill="BDD7EE"/>
            <w:noWrap/>
            <w:vAlign w:val="center"/>
            <w:hideMark/>
          </w:tcPr>
          <w:p w14:paraId="1AC1EBA4"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3,671,817.23 </w:t>
            </w:r>
          </w:p>
        </w:tc>
      </w:tr>
      <w:tr w:rsidR="0016330F" w:rsidRPr="00DE2893" w14:paraId="0B95444D" w14:textId="77777777" w:rsidTr="000E5611">
        <w:trPr>
          <w:trHeight w:val="300"/>
          <w:jc w:val="center"/>
        </w:trPr>
        <w:tc>
          <w:tcPr>
            <w:tcW w:w="0" w:type="auto"/>
            <w:shd w:val="clear" w:color="000000" w:fill="FFFFFF"/>
            <w:noWrap/>
            <w:vAlign w:val="center"/>
            <w:hideMark/>
          </w:tcPr>
          <w:p w14:paraId="0165BE74"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Sacatepéquez</w:t>
            </w:r>
          </w:p>
        </w:tc>
        <w:tc>
          <w:tcPr>
            <w:tcW w:w="0" w:type="auto"/>
            <w:shd w:val="clear" w:color="auto" w:fill="auto"/>
            <w:noWrap/>
            <w:vAlign w:val="center"/>
            <w:hideMark/>
          </w:tcPr>
          <w:p w14:paraId="374810AD"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147,013,087.81 </w:t>
            </w:r>
          </w:p>
        </w:tc>
        <w:tc>
          <w:tcPr>
            <w:tcW w:w="0" w:type="auto"/>
            <w:shd w:val="clear" w:color="auto" w:fill="auto"/>
            <w:noWrap/>
            <w:vAlign w:val="center"/>
            <w:hideMark/>
          </w:tcPr>
          <w:p w14:paraId="62B4A0F4"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190,320,987.83 </w:t>
            </w:r>
          </w:p>
        </w:tc>
        <w:tc>
          <w:tcPr>
            <w:tcW w:w="0" w:type="auto"/>
            <w:shd w:val="clear" w:color="auto" w:fill="auto"/>
            <w:noWrap/>
            <w:vAlign w:val="center"/>
            <w:hideMark/>
          </w:tcPr>
          <w:p w14:paraId="468F895B"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90,671,593.72 </w:t>
            </w:r>
          </w:p>
        </w:tc>
      </w:tr>
      <w:tr w:rsidR="0016330F" w:rsidRPr="00DE2893" w14:paraId="5E51A5D4" w14:textId="77777777" w:rsidTr="000E5611">
        <w:trPr>
          <w:trHeight w:val="300"/>
          <w:jc w:val="center"/>
        </w:trPr>
        <w:tc>
          <w:tcPr>
            <w:tcW w:w="0" w:type="auto"/>
            <w:shd w:val="clear" w:color="000000" w:fill="BDD7EE"/>
            <w:noWrap/>
            <w:vAlign w:val="center"/>
            <w:hideMark/>
          </w:tcPr>
          <w:p w14:paraId="7869E216"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Sololá</w:t>
            </w:r>
          </w:p>
        </w:tc>
        <w:tc>
          <w:tcPr>
            <w:tcW w:w="0" w:type="auto"/>
            <w:shd w:val="clear" w:color="000000" w:fill="BDD7EE"/>
            <w:noWrap/>
            <w:vAlign w:val="center"/>
            <w:hideMark/>
          </w:tcPr>
          <w:p w14:paraId="111354F7"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32,799,506.74 </w:t>
            </w:r>
          </w:p>
        </w:tc>
        <w:tc>
          <w:tcPr>
            <w:tcW w:w="0" w:type="auto"/>
            <w:shd w:val="clear" w:color="000000" w:fill="BDD7EE"/>
            <w:noWrap/>
            <w:vAlign w:val="center"/>
            <w:hideMark/>
          </w:tcPr>
          <w:p w14:paraId="2DAF3BA8"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40,166,130.07 </w:t>
            </w:r>
          </w:p>
        </w:tc>
        <w:tc>
          <w:tcPr>
            <w:tcW w:w="0" w:type="auto"/>
            <w:shd w:val="clear" w:color="000000" w:fill="BDD7EE"/>
            <w:noWrap/>
            <w:vAlign w:val="center"/>
            <w:hideMark/>
          </w:tcPr>
          <w:p w14:paraId="36907127"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17,149,878.50 </w:t>
            </w:r>
          </w:p>
        </w:tc>
      </w:tr>
      <w:tr w:rsidR="0016330F" w:rsidRPr="00DE2893" w14:paraId="74B9DB2E" w14:textId="77777777" w:rsidTr="000E5611">
        <w:trPr>
          <w:trHeight w:val="300"/>
          <w:jc w:val="center"/>
        </w:trPr>
        <w:tc>
          <w:tcPr>
            <w:tcW w:w="0" w:type="auto"/>
            <w:shd w:val="clear" w:color="000000" w:fill="FFFFFF"/>
            <w:noWrap/>
            <w:vAlign w:val="center"/>
            <w:hideMark/>
          </w:tcPr>
          <w:p w14:paraId="7D53ACD9"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San Marcos</w:t>
            </w:r>
          </w:p>
        </w:tc>
        <w:tc>
          <w:tcPr>
            <w:tcW w:w="0" w:type="auto"/>
            <w:shd w:val="clear" w:color="auto" w:fill="auto"/>
            <w:noWrap/>
            <w:vAlign w:val="center"/>
            <w:hideMark/>
          </w:tcPr>
          <w:p w14:paraId="0E1B042F"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16,047,917.02 </w:t>
            </w:r>
          </w:p>
        </w:tc>
        <w:tc>
          <w:tcPr>
            <w:tcW w:w="0" w:type="auto"/>
            <w:shd w:val="clear" w:color="auto" w:fill="auto"/>
            <w:noWrap/>
            <w:vAlign w:val="center"/>
            <w:hideMark/>
          </w:tcPr>
          <w:p w14:paraId="3D7C4296"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27,823,238.26 </w:t>
            </w:r>
          </w:p>
        </w:tc>
        <w:tc>
          <w:tcPr>
            <w:tcW w:w="0" w:type="auto"/>
            <w:shd w:val="clear" w:color="auto" w:fill="auto"/>
            <w:noWrap/>
            <w:vAlign w:val="center"/>
            <w:hideMark/>
          </w:tcPr>
          <w:p w14:paraId="63134138"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11,186,603.99 </w:t>
            </w:r>
          </w:p>
        </w:tc>
      </w:tr>
      <w:tr w:rsidR="0016330F" w:rsidRPr="00DE2893" w14:paraId="59ED03EC" w14:textId="77777777" w:rsidTr="000E5611">
        <w:trPr>
          <w:trHeight w:val="300"/>
          <w:jc w:val="center"/>
        </w:trPr>
        <w:tc>
          <w:tcPr>
            <w:tcW w:w="0" w:type="auto"/>
            <w:shd w:val="clear" w:color="000000" w:fill="BDD7EE"/>
            <w:noWrap/>
            <w:vAlign w:val="center"/>
            <w:hideMark/>
          </w:tcPr>
          <w:p w14:paraId="191A6BC0"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Santa Rosa</w:t>
            </w:r>
          </w:p>
        </w:tc>
        <w:tc>
          <w:tcPr>
            <w:tcW w:w="0" w:type="auto"/>
            <w:shd w:val="clear" w:color="000000" w:fill="BDD7EE"/>
            <w:noWrap/>
            <w:vAlign w:val="center"/>
            <w:hideMark/>
          </w:tcPr>
          <w:p w14:paraId="25A457EE"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45,498,847.09 </w:t>
            </w:r>
          </w:p>
        </w:tc>
        <w:tc>
          <w:tcPr>
            <w:tcW w:w="0" w:type="auto"/>
            <w:shd w:val="clear" w:color="000000" w:fill="BDD7EE"/>
            <w:noWrap/>
            <w:vAlign w:val="center"/>
            <w:hideMark/>
          </w:tcPr>
          <w:p w14:paraId="2CCDFB43"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62,643,949.80 </w:t>
            </w:r>
          </w:p>
        </w:tc>
        <w:tc>
          <w:tcPr>
            <w:tcW w:w="0" w:type="auto"/>
            <w:shd w:val="clear" w:color="000000" w:fill="BDD7EE"/>
            <w:noWrap/>
            <w:vAlign w:val="center"/>
            <w:hideMark/>
          </w:tcPr>
          <w:p w14:paraId="752CFCD9"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25,468,317.23 </w:t>
            </w:r>
          </w:p>
        </w:tc>
      </w:tr>
      <w:tr w:rsidR="0016330F" w:rsidRPr="00DE2893" w14:paraId="721D4D5C" w14:textId="77777777" w:rsidTr="000E5611">
        <w:trPr>
          <w:trHeight w:val="300"/>
          <w:jc w:val="center"/>
        </w:trPr>
        <w:tc>
          <w:tcPr>
            <w:tcW w:w="0" w:type="auto"/>
            <w:shd w:val="clear" w:color="000000" w:fill="FFFFFF"/>
            <w:noWrap/>
            <w:vAlign w:val="center"/>
            <w:hideMark/>
          </w:tcPr>
          <w:p w14:paraId="74BC4E92"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Suchitepéquez</w:t>
            </w:r>
          </w:p>
        </w:tc>
        <w:tc>
          <w:tcPr>
            <w:tcW w:w="0" w:type="auto"/>
            <w:shd w:val="clear" w:color="auto" w:fill="auto"/>
            <w:noWrap/>
            <w:vAlign w:val="center"/>
            <w:hideMark/>
          </w:tcPr>
          <w:p w14:paraId="771F2F12"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28,342,091.16 </w:t>
            </w:r>
          </w:p>
        </w:tc>
        <w:tc>
          <w:tcPr>
            <w:tcW w:w="0" w:type="auto"/>
            <w:shd w:val="clear" w:color="auto" w:fill="auto"/>
            <w:noWrap/>
            <w:vAlign w:val="center"/>
            <w:hideMark/>
          </w:tcPr>
          <w:p w14:paraId="025DC572"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25,785,828.32 </w:t>
            </w:r>
          </w:p>
        </w:tc>
        <w:tc>
          <w:tcPr>
            <w:tcW w:w="0" w:type="auto"/>
            <w:shd w:val="clear" w:color="auto" w:fill="auto"/>
            <w:noWrap/>
            <w:vAlign w:val="center"/>
            <w:hideMark/>
          </w:tcPr>
          <w:p w14:paraId="626C5C49"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14,122,793.18 </w:t>
            </w:r>
          </w:p>
        </w:tc>
      </w:tr>
      <w:tr w:rsidR="0016330F" w:rsidRPr="00DE2893" w14:paraId="0A5F5ABD" w14:textId="77777777" w:rsidTr="000E5611">
        <w:trPr>
          <w:trHeight w:val="300"/>
          <w:jc w:val="center"/>
        </w:trPr>
        <w:tc>
          <w:tcPr>
            <w:tcW w:w="0" w:type="auto"/>
            <w:shd w:val="clear" w:color="000000" w:fill="BDD7EE"/>
            <w:noWrap/>
            <w:vAlign w:val="center"/>
            <w:hideMark/>
          </w:tcPr>
          <w:p w14:paraId="692DC864"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Totonicapán</w:t>
            </w:r>
          </w:p>
        </w:tc>
        <w:tc>
          <w:tcPr>
            <w:tcW w:w="0" w:type="auto"/>
            <w:shd w:val="clear" w:color="000000" w:fill="BDD7EE"/>
            <w:noWrap/>
            <w:vAlign w:val="center"/>
            <w:hideMark/>
          </w:tcPr>
          <w:p w14:paraId="1C6D9BD7"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14,169,440.49 </w:t>
            </w:r>
          </w:p>
        </w:tc>
        <w:tc>
          <w:tcPr>
            <w:tcW w:w="0" w:type="auto"/>
            <w:shd w:val="clear" w:color="000000" w:fill="BDD7EE"/>
            <w:noWrap/>
            <w:vAlign w:val="center"/>
            <w:hideMark/>
          </w:tcPr>
          <w:p w14:paraId="34005615"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52,836,075.54 </w:t>
            </w:r>
          </w:p>
        </w:tc>
        <w:tc>
          <w:tcPr>
            <w:tcW w:w="0" w:type="auto"/>
            <w:shd w:val="clear" w:color="000000" w:fill="BDD7EE"/>
            <w:noWrap/>
            <w:vAlign w:val="center"/>
            <w:hideMark/>
          </w:tcPr>
          <w:p w14:paraId="0BF32857"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21,887,642.45 </w:t>
            </w:r>
          </w:p>
        </w:tc>
      </w:tr>
      <w:tr w:rsidR="0016330F" w:rsidRPr="00DE2893" w14:paraId="7301DD68" w14:textId="77777777" w:rsidTr="000E5611">
        <w:trPr>
          <w:trHeight w:val="300"/>
          <w:jc w:val="center"/>
        </w:trPr>
        <w:tc>
          <w:tcPr>
            <w:tcW w:w="0" w:type="auto"/>
            <w:shd w:val="clear" w:color="000000" w:fill="FFFFFF"/>
            <w:noWrap/>
            <w:vAlign w:val="center"/>
            <w:hideMark/>
          </w:tcPr>
          <w:p w14:paraId="0728C2EE" w14:textId="77777777" w:rsidR="0016330F" w:rsidRPr="00DE2893" w:rsidRDefault="0016330F" w:rsidP="00153122">
            <w:pPr>
              <w:spacing w:after="0" w:line="360" w:lineRule="auto"/>
              <w:rPr>
                <w:rFonts w:eastAsia="Times New Roman" w:cstheme="minorHAnsi"/>
                <w:color w:val="000000"/>
                <w:sz w:val="18"/>
                <w:szCs w:val="18"/>
                <w:lang w:eastAsia="es-GT"/>
              </w:rPr>
            </w:pPr>
            <w:r w:rsidRPr="00DE2893">
              <w:rPr>
                <w:rFonts w:eastAsia="Times New Roman" w:cstheme="minorHAnsi"/>
                <w:color w:val="000000"/>
                <w:sz w:val="18"/>
                <w:szCs w:val="18"/>
                <w:lang w:eastAsia="es-GT"/>
              </w:rPr>
              <w:t>Zacapa</w:t>
            </w:r>
          </w:p>
        </w:tc>
        <w:tc>
          <w:tcPr>
            <w:tcW w:w="0" w:type="auto"/>
            <w:shd w:val="clear" w:color="auto" w:fill="auto"/>
            <w:noWrap/>
            <w:vAlign w:val="center"/>
            <w:hideMark/>
          </w:tcPr>
          <w:p w14:paraId="41CAD5C4"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1,204,799.45 </w:t>
            </w:r>
          </w:p>
        </w:tc>
        <w:tc>
          <w:tcPr>
            <w:tcW w:w="0" w:type="auto"/>
            <w:shd w:val="clear" w:color="auto" w:fill="auto"/>
            <w:noWrap/>
            <w:vAlign w:val="center"/>
            <w:hideMark/>
          </w:tcPr>
          <w:p w14:paraId="1D77879D"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1,210,965.45 </w:t>
            </w:r>
          </w:p>
        </w:tc>
        <w:tc>
          <w:tcPr>
            <w:tcW w:w="0" w:type="auto"/>
            <w:shd w:val="clear" w:color="auto" w:fill="auto"/>
            <w:noWrap/>
            <w:vAlign w:val="center"/>
            <w:hideMark/>
          </w:tcPr>
          <w:p w14:paraId="0D9A497C" w14:textId="77777777" w:rsidR="0016330F" w:rsidRPr="00DE2893" w:rsidRDefault="0016330F" w:rsidP="00153122">
            <w:pPr>
              <w:spacing w:after="0" w:line="360" w:lineRule="auto"/>
              <w:jc w:val="right"/>
              <w:rPr>
                <w:rFonts w:eastAsia="Times New Roman" w:cstheme="minorHAnsi"/>
                <w:color w:val="000000"/>
                <w:sz w:val="18"/>
                <w:szCs w:val="18"/>
                <w:lang w:eastAsia="es-GT"/>
              </w:rPr>
            </w:pPr>
            <w:r w:rsidRPr="00DE2893">
              <w:rPr>
                <w:rFonts w:eastAsia="Times New Roman" w:cstheme="minorHAnsi"/>
                <w:color w:val="000000"/>
                <w:sz w:val="18"/>
                <w:szCs w:val="18"/>
                <w:lang w:eastAsia="es-GT"/>
              </w:rPr>
              <w:t xml:space="preserve"> Q       579,469.86 </w:t>
            </w:r>
          </w:p>
        </w:tc>
      </w:tr>
      <w:tr w:rsidR="0016330F" w:rsidRPr="00DE2893" w14:paraId="5B51AAA1" w14:textId="77777777" w:rsidTr="000E5611">
        <w:trPr>
          <w:trHeight w:val="315"/>
          <w:jc w:val="center"/>
        </w:trPr>
        <w:tc>
          <w:tcPr>
            <w:tcW w:w="0" w:type="auto"/>
            <w:shd w:val="clear" w:color="000000" w:fill="BDD7EE"/>
            <w:noWrap/>
            <w:vAlign w:val="center"/>
            <w:hideMark/>
          </w:tcPr>
          <w:p w14:paraId="2997C3F0" w14:textId="77777777" w:rsidR="0016330F" w:rsidRPr="00DE2893" w:rsidRDefault="0016330F" w:rsidP="00153122">
            <w:pPr>
              <w:spacing w:after="0" w:line="360" w:lineRule="auto"/>
              <w:rPr>
                <w:rFonts w:eastAsia="Times New Roman" w:cstheme="minorHAnsi"/>
                <w:b/>
                <w:bCs/>
                <w:color w:val="000000"/>
                <w:sz w:val="18"/>
                <w:szCs w:val="18"/>
                <w:lang w:eastAsia="es-GT"/>
              </w:rPr>
            </w:pPr>
            <w:r w:rsidRPr="00DE2893">
              <w:rPr>
                <w:rFonts w:eastAsia="Times New Roman" w:cstheme="minorHAnsi"/>
                <w:b/>
                <w:bCs/>
                <w:color w:val="000000"/>
                <w:sz w:val="18"/>
                <w:szCs w:val="18"/>
                <w:lang w:eastAsia="es-GT"/>
              </w:rPr>
              <w:t>Total</w:t>
            </w:r>
          </w:p>
        </w:tc>
        <w:tc>
          <w:tcPr>
            <w:tcW w:w="0" w:type="auto"/>
            <w:shd w:val="clear" w:color="000000" w:fill="BDD7EE"/>
            <w:noWrap/>
            <w:vAlign w:val="center"/>
            <w:hideMark/>
          </w:tcPr>
          <w:p w14:paraId="3E448A0E" w14:textId="77777777" w:rsidR="0016330F" w:rsidRPr="00DE2893" w:rsidRDefault="0016330F" w:rsidP="00153122">
            <w:pPr>
              <w:spacing w:after="0" w:line="360" w:lineRule="auto"/>
              <w:jc w:val="right"/>
              <w:rPr>
                <w:rFonts w:eastAsia="Times New Roman" w:cstheme="minorHAnsi"/>
                <w:b/>
                <w:bCs/>
                <w:color w:val="000000"/>
                <w:sz w:val="18"/>
                <w:szCs w:val="18"/>
                <w:lang w:eastAsia="es-GT"/>
              </w:rPr>
            </w:pPr>
            <w:r w:rsidRPr="00DE2893">
              <w:rPr>
                <w:rFonts w:eastAsia="Times New Roman" w:cstheme="minorHAnsi"/>
                <w:b/>
                <w:bCs/>
                <w:color w:val="000000"/>
                <w:sz w:val="18"/>
                <w:szCs w:val="18"/>
                <w:lang w:eastAsia="es-GT"/>
              </w:rPr>
              <w:t xml:space="preserve"> Q 1,139,163,769.66 </w:t>
            </w:r>
          </w:p>
        </w:tc>
        <w:tc>
          <w:tcPr>
            <w:tcW w:w="0" w:type="auto"/>
            <w:shd w:val="clear" w:color="000000" w:fill="BDD7EE"/>
            <w:noWrap/>
            <w:vAlign w:val="center"/>
            <w:hideMark/>
          </w:tcPr>
          <w:p w14:paraId="667119F1" w14:textId="77777777" w:rsidR="0016330F" w:rsidRPr="00DE2893" w:rsidRDefault="0016330F" w:rsidP="00153122">
            <w:pPr>
              <w:spacing w:after="0" w:line="360" w:lineRule="auto"/>
              <w:jc w:val="right"/>
              <w:rPr>
                <w:rFonts w:eastAsia="Times New Roman" w:cstheme="minorHAnsi"/>
                <w:b/>
                <w:bCs/>
                <w:color w:val="000000"/>
                <w:sz w:val="18"/>
                <w:szCs w:val="18"/>
                <w:lang w:eastAsia="es-GT"/>
              </w:rPr>
            </w:pPr>
            <w:r w:rsidRPr="00DE2893">
              <w:rPr>
                <w:rFonts w:eastAsia="Times New Roman" w:cstheme="minorHAnsi"/>
                <w:b/>
                <w:bCs/>
                <w:color w:val="000000"/>
                <w:sz w:val="18"/>
                <w:szCs w:val="18"/>
                <w:lang w:eastAsia="es-GT"/>
              </w:rPr>
              <w:t xml:space="preserve"> Q 1,701,206,099.44 </w:t>
            </w:r>
          </w:p>
        </w:tc>
        <w:tc>
          <w:tcPr>
            <w:tcW w:w="0" w:type="auto"/>
            <w:shd w:val="clear" w:color="000000" w:fill="BDD7EE"/>
            <w:noWrap/>
            <w:vAlign w:val="center"/>
            <w:hideMark/>
          </w:tcPr>
          <w:p w14:paraId="1BFD311B" w14:textId="77777777" w:rsidR="0016330F" w:rsidRPr="00DE2893" w:rsidRDefault="0016330F" w:rsidP="00153122">
            <w:pPr>
              <w:spacing w:after="0" w:line="360" w:lineRule="auto"/>
              <w:jc w:val="right"/>
              <w:rPr>
                <w:rFonts w:eastAsia="Times New Roman" w:cstheme="minorHAnsi"/>
                <w:b/>
                <w:bCs/>
                <w:color w:val="000000"/>
                <w:sz w:val="18"/>
                <w:szCs w:val="18"/>
                <w:lang w:eastAsia="es-GT"/>
              </w:rPr>
            </w:pPr>
            <w:r w:rsidRPr="00DE2893">
              <w:rPr>
                <w:rFonts w:eastAsia="Times New Roman" w:cstheme="minorHAnsi"/>
                <w:b/>
                <w:bCs/>
                <w:color w:val="000000"/>
                <w:sz w:val="18"/>
                <w:szCs w:val="18"/>
                <w:lang w:eastAsia="es-GT"/>
              </w:rPr>
              <w:t xml:space="preserve"> Q 653,702,158.91 </w:t>
            </w:r>
          </w:p>
        </w:tc>
      </w:tr>
    </w:tbl>
    <w:p w14:paraId="3F87E409" w14:textId="40A115D4" w:rsidR="0016330F" w:rsidRDefault="00387A2F" w:rsidP="00387A2F">
      <w:pPr>
        <w:spacing w:after="0" w:line="360" w:lineRule="auto"/>
        <w:rPr>
          <w:color w:val="231F20"/>
          <w:sz w:val="18"/>
          <w:szCs w:val="18"/>
        </w:rPr>
      </w:pPr>
      <w:r>
        <w:rPr>
          <w:color w:val="231F20"/>
          <w:sz w:val="18"/>
          <w:szCs w:val="18"/>
        </w:rPr>
        <w:tab/>
      </w:r>
      <w:r w:rsidRPr="00387A2F">
        <w:rPr>
          <w:color w:val="231F20"/>
          <w:sz w:val="18"/>
          <w:szCs w:val="18"/>
        </w:rPr>
        <w:t xml:space="preserve">Fuente: Sistema de Contabilidad Integrada (SICOIN), </w:t>
      </w:r>
      <w:r w:rsidR="00BE3228">
        <w:rPr>
          <w:color w:val="231F20"/>
          <w:sz w:val="18"/>
          <w:szCs w:val="18"/>
        </w:rPr>
        <w:t>del 1 de enero al 30 de junio</w:t>
      </w:r>
      <w:r w:rsidR="00BE3228" w:rsidRPr="00387A2F">
        <w:rPr>
          <w:color w:val="231F20"/>
          <w:sz w:val="18"/>
          <w:szCs w:val="18"/>
        </w:rPr>
        <w:t xml:space="preserve"> del 2021</w:t>
      </w:r>
    </w:p>
    <w:p w14:paraId="023C5B41" w14:textId="77777777" w:rsidR="00387A2F" w:rsidRDefault="00387A2F" w:rsidP="00387A2F">
      <w:pPr>
        <w:spacing w:after="0" w:line="360" w:lineRule="auto"/>
      </w:pPr>
    </w:p>
    <w:p w14:paraId="76E77E07" w14:textId="53EB38D3" w:rsidR="003C264F" w:rsidRDefault="003C264F" w:rsidP="003C264F">
      <w:pPr>
        <w:tabs>
          <w:tab w:val="left" w:pos="2250"/>
        </w:tabs>
        <w:spacing w:after="0" w:line="360" w:lineRule="auto"/>
        <w:jc w:val="both"/>
      </w:pPr>
      <w:r>
        <w:lastRenderedPageBreak/>
        <w:t xml:space="preserve">La Gráfica </w:t>
      </w:r>
      <w:r w:rsidR="005A172A">
        <w:t>3</w:t>
      </w:r>
      <w:r>
        <w:t xml:space="preserve"> permite observar que el departamento de Guatemala fue el que mayor presupuesto vinculó </w:t>
      </w:r>
      <w:r w:rsidR="008B2B97">
        <w:t>y ejecutó</w:t>
      </w:r>
      <w:r>
        <w:t xml:space="preserve">. Se puede observar también que departamentos como </w:t>
      </w:r>
      <w:r w:rsidR="001D5EAC">
        <w:t>Suchitepéquez</w:t>
      </w:r>
      <w:r>
        <w:t xml:space="preserve"> y Chimaltenango no </w:t>
      </w:r>
      <w:r w:rsidR="008B2B97">
        <w:t xml:space="preserve">realizaron </w:t>
      </w:r>
      <w:r w:rsidR="00386D5A">
        <w:t xml:space="preserve">incremento en </w:t>
      </w:r>
      <w:r>
        <w:t xml:space="preserve">el presupuesto </w:t>
      </w:r>
      <w:r w:rsidR="001D5EAC">
        <w:t>asignado</w:t>
      </w:r>
      <w:r w:rsidR="00386D5A">
        <w:t xml:space="preserve">, mientras que </w:t>
      </w:r>
      <w:r w:rsidR="001D5EAC">
        <w:t xml:space="preserve">Chiquimula </w:t>
      </w:r>
      <w:r w:rsidR="002E6437">
        <w:t xml:space="preserve">disminuyo la asignación inicial vinculada. </w:t>
      </w:r>
    </w:p>
    <w:p w14:paraId="2D05EB21" w14:textId="77777777" w:rsidR="003F145B" w:rsidRDefault="003F145B" w:rsidP="003C264F">
      <w:pPr>
        <w:tabs>
          <w:tab w:val="left" w:pos="2250"/>
        </w:tabs>
        <w:spacing w:after="0" w:line="360" w:lineRule="auto"/>
        <w:jc w:val="both"/>
      </w:pPr>
    </w:p>
    <w:p w14:paraId="30298199" w14:textId="7202A406" w:rsidR="003C264F" w:rsidRDefault="003C264F" w:rsidP="003F145B">
      <w:pPr>
        <w:tabs>
          <w:tab w:val="left" w:pos="2250"/>
        </w:tabs>
        <w:spacing w:after="0" w:line="360" w:lineRule="auto"/>
        <w:jc w:val="center"/>
      </w:pPr>
      <w:r>
        <w:t xml:space="preserve">Gráfica </w:t>
      </w:r>
      <w:r w:rsidR="005A172A">
        <w:t>3</w:t>
      </w:r>
    </w:p>
    <w:p w14:paraId="5DE12C6D" w14:textId="70D1BE22" w:rsidR="003C264F" w:rsidRDefault="003C264F" w:rsidP="00153122">
      <w:pPr>
        <w:tabs>
          <w:tab w:val="left" w:pos="2250"/>
        </w:tabs>
        <w:spacing w:after="0" w:line="360" w:lineRule="auto"/>
      </w:pPr>
      <w:r>
        <w:rPr>
          <w:noProof/>
          <w:lang w:eastAsia="es-GT"/>
        </w:rPr>
        <w:drawing>
          <wp:inline distT="0" distB="0" distL="0" distR="0" wp14:anchorId="3978133E" wp14:editId="5E0F1702">
            <wp:extent cx="5612130" cy="3750945"/>
            <wp:effectExtent l="0" t="0" r="7620" b="1905"/>
            <wp:docPr id="2" name="Gráfico 2">
              <a:extLst xmlns:a="http://schemas.openxmlformats.org/drawingml/2006/main">
                <a:ext uri="{FF2B5EF4-FFF2-40B4-BE49-F238E27FC236}">
                  <a16:creationId xmlns:a16="http://schemas.microsoft.com/office/drawing/2014/main" id="{CD7F4B12-688A-4C88-B5F8-E85B309A6E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6E9188" w14:textId="4847DD19" w:rsidR="00567F9E" w:rsidRDefault="00567F9E"/>
    <w:p w14:paraId="520B9898" w14:textId="051FC3A6" w:rsidR="00582D79" w:rsidRPr="006F7001" w:rsidRDefault="001B7E72" w:rsidP="00307B72">
      <w:pPr>
        <w:pStyle w:val="Ttulo3"/>
      </w:pPr>
      <w:bookmarkStart w:id="16" w:name="_Toc97558449"/>
      <w:bookmarkStart w:id="17" w:name="_Toc98759537"/>
      <w:r w:rsidRPr="006F7001">
        <w:t>PROGRAMAS PRESUPUESTARIOS VINCULADO AL CPEG POR LOS GOBIERNOS LOCALES ACORDE A LOS EJES DE LA PNPDIM PARA EL PRIMER SEMESTRE 2021</w:t>
      </w:r>
      <w:bookmarkEnd w:id="16"/>
      <w:bookmarkEnd w:id="17"/>
    </w:p>
    <w:p w14:paraId="3DA778FC" w14:textId="5980954F" w:rsidR="000F043C" w:rsidRDefault="000F043C" w:rsidP="00567F9E">
      <w:pPr>
        <w:tabs>
          <w:tab w:val="left" w:pos="2250"/>
        </w:tabs>
        <w:spacing w:after="0" w:line="360" w:lineRule="auto"/>
        <w:jc w:val="both"/>
      </w:pPr>
    </w:p>
    <w:p w14:paraId="34ECE086" w14:textId="44953993" w:rsidR="00682C4E" w:rsidRDefault="000F043C" w:rsidP="00567F9E">
      <w:pPr>
        <w:tabs>
          <w:tab w:val="left" w:pos="2250"/>
        </w:tabs>
        <w:spacing w:after="0" w:line="360" w:lineRule="auto"/>
        <w:jc w:val="both"/>
      </w:pPr>
      <w:r>
        <w:t xml:space="preserve">Sin embargo, hay necesidad de observar detenidamente el comportamiento de la vinculación a nivel de los gobiernos locales con relación a los programas presupuestarios y su vinculación a los ejes de la </w:t>
      </w:r>
      <w:r w:rsidR="00162D0B">
        <w:t>política</w:t>
      </w:r>
      <w:r>
        <w:t>, en tal sentido se desarrollan las presentes tablas las cuales reflejan la producción de municipalidades etiquetadas al CPEG.</w:t>
      </w:r>
    </w:p>
    <w:p w14:paraId="2BCE84C9" w14:textId="77777777" w:rsidR="00682C4E" w:rsidRDefault="00682C4E">
      <w:r>
        <w:br w:type="page"/>
      </w:r>
    </w:p>
    <w:p w14:paraId="045F2572" w14:textId="77777777" w:rsidR="00162D0B" w:rsidRDefault="00E7465A" w:rsidP="00E7465A">
      <w:pPr>
        <w:tabs>
          <w:tab w:val="left" w:pos="2250"/>
        </w:tabs>
        <w:spacing w:after="0" w:line="240" w:lineRule="auto"/>
        <w:jc w:val="center"/>
        <w:rPr>
          <w:b/>
          <w:bCs/>
        </w:rPr>
      </w:pPr>
      <w:r w:rsidRPr="00E7465A">
        <w:rPr>
          <w:b/>
          <w:bCs/>
        </w:rPr>
        <w:lastRenderedPageBreak/>
        <w:t xml:space="preserve">Tabla No. </w:t>
      </w:r>
      <w:r w:rsidR="00950420">
        <w:rPr>
          <w:b/>
          <w:bCs/>
        </w:rPr>
        <w:t>9</w:t>
      </w:r>
      <w:r w:rsidRPr="00E7465A">
        <w:rPr>
          <w:b/>
          <w:bCs/>
        </w:rPr>
        <w:t xml:space="preserve"> </w:t>
      </w:r>
    </w:p>
    <w:p w14:paraId="29452142" w14:textId="5C7EA3A1" w:rsidR="00E7465A" w:rsidRDefault="00E7465A" w:rsidP="00E7465A">
      <w:pPr>
        <w:tabs>
          <w:tab w:val="left" w:pos="2250"/>
        </w:tabs>
        <w:spacing w:after="0" w:line="240" w:lineRule="auto"/>
        <w:jc w:val="center"/>
        <w:rPr>
          <w:b/>
          <w:bCs/>
        </w:rPr>
      </w:pPr>
      <w:r w:rsidRPr="00E7465A">
        <w:rPr>
          <w:b/>
          <w:bCs/>
        </w:rPr>
        <w:t xml:space="preserve">Programas presupuestarios </w:t>
      </w:r>
      <w:r w:rsidR="00362B6F" w:rsidRPr="00E7465A">
        <w:rPr>
          <w:b/>
          <w:bCs/>
        </w:rPr>
        <w:t xml:space="preserve">etiquetados </w:t>
      </w:r>
      <w:r w:rsidR="00362B6F">
        <w:rPr>
          <w:b/>
          <w:bCs/>
        </w:rPr>
        <w:t>a</w:t>
      </w:r>
      <w:r>
        <w:rPr>
          <w:b/>
          <w:bCs/>
        </w:rPr>
        <w:t xml:space="preserve"> nivel municipal,</w:t>
      </w:r>
      <w:r w:rsidR="002A015D">
        <w:rPr>
          <w:b/>
          <w:bCs/>
        </w:rPr>
        <w:t xml:space="preserve"> </w:t>
      </w:r>
      <w:r w:rsidR="00162D0B">
        <w:rPr>
          <w:b/>
          <w:bCs/>
        </w:rPr>
        <w:t>E</w:t>
      </w:r>
      <w:r w:rsidRPr="00E7465A">
        <w:rPr>
          <w:b/>
          <w:bCs/>
        </w:rPr>
        <w:t>je 1. Económico del Clasificador Presupuestario con Enfoque de Género.</w:t>
      </w:r>
    </w:p>
    <w:p w14:paraId="5CD9B261" w14:textId="73BDCA2F" w:rsidR="00E7465A" w:rsidRDefault="00E7465A" w:rsidP="00153122">
      <w:pPr>
        <w:tabs>
          <w:tab w:val="left" w:pos="2250"/>
        </w:tabs>
        <w:spacing w:after="0" w:line="360" w:lineRule="auto"/>
        <w:jc w:val="center"/>
        <w:rPr>
          <w:b/>
          <w:bCs/>
        </w:rPr>
      </w:pPr>
      <w:r w:rsidRPr="00E7465A">
        <w:rPr>
          <w:noProof/>
          <w:lang w:eastAsia="es-GT"/>
        </w:rPr>
        <w:drawing>
          <wp:inline distT="0" distB="0" distL="0" distR="0" wp14:anchorId="6EEDD8CE" wp14:editId="6FAC8F8A">
            <wp:extent cx="5800725" cy="3883025"/>
            <wp:effectExtent l="0" t="0" r="9525"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3883025"/>
                    </a:xfrm>
                    <a:prstGeom prst="rect">
                      <a:avLst/>
                    </a:prstGeom>
                    <a:noFill/>
                    <a:ln>
                      <a:noFill/>
                    </a:ln>
                  </pic:spPr>
                </pic:pic>
              </a:graphicData>
            </a:graphic>
          </wp:inline>
        </w:drawing>
      </w:r>
    </w:p>
    <w:p w14:paraId="74C8EA61" w14:textId="4CD0DDE3" w:rsidR="00E7465A" w:rsidRPr="009E57EC" w:rsidRDefault="009E57EC" w:rsidP="000F043C">
      <w:pPr>
        <w:tabs>
          <w:tab w:val="left" w:pos="2250"/>
        </w:tabs>
        <w:spacing w:after="0" w:line="360" w:lineRule="auto"/>
        <w:jc w:val="both"/>
        <w:rPr>
          <w:bCs/>
          <w:sz w:val="18"/>
        </w:rPr>
      </w:pPr>
      <w:r w:rsidRPr="009E57EC">
        <w:rPr>
          <w:bCs/>
          <w:sz w:val="18"/>
        </w:rPr>
        <w:t>Fuente: Sistema de Contabilidad Integrada (SICOIN), del 1 de enero al 30 de junio del 2021</w:t>
      </w:r>
    </w:p>
    <w:p w14:paraId="418B940F" w14:textId="77777777" w:rsidR="00B038F4" w:rsidRDefault="00B038F4" w:rsidP="000F043C">
      <w:pPr>
        <w:tabs>
          <w:tab w:val="left" w:pos="2250"/>
        </w:tabs>
        <w:spacing w:after="0" w:line="360" w:lineRule="auto"/>
        <w:jc w:val="both"/>
        <w:rPr>
          <w:bCs/>
        </w:rPr>
      </w:pPr>
    </w:p>
    <w:p w14:paraId="7DAB1CD7" w14:textId="720CEBCD" w:rsidR="00E7465A" w:rsidRDefault="000F043C" w:rsidP="000F043C">
      <w:pPr>
        <w:tabs>
          <w:tab w:val="left" w:pos="2250"/>
        </w:tabs>
        <w:spacing w:after="0" w:line="360" w:lineRule="auto"/>
        <w:jc w:val="both"/>
        <w:rPr>
          <w:bCs/>
        </w:rPr>
      </w:pPr>
      <w:r w:rsidRPr="000F043C">
        <w:rPr>
          <w:bCs/>
        </w:rPr>
        <w:t xml:space="preserve">En la tabla anterior, se evidencia que </w:t>
      </w:r>
      <w:r w:rsidR="00716870" w:rsidRPr="00716870">
        <w:rPr>
          <w:bCs/>
        </w:rPr>
        <w:t>al Eje Económico se vinculan asignaciones presupuestarias relacionadas con los programas de</w:t>
      </w:r>
      <w:r w:rsidRPr="000F043C">
        <w:rPr>
          <w:bCs/>
        </w:rPr>
        <w:t xml:space="preserve"> prevención de desnutrición crónica, movilidad urbana y actividades centrales, las cuales reflejan los montos más altos de etiquetación, sin embargo, no necesariamente están dando respuesta al empoderamiento económico de las mujeres, </w:t>
      </w:r>
      <w:r w:rsidR="00B4514A" w:rsidRPr="000F043C">
        <w:rPr>
          <w:bCs/>
        </w:rPr>
        <w:t xml:space="preserve">por lo que se hace necesario el acompañamiento metodológico a los gobiernos locales </w:t>
      </w:r>
      <w:r w:rsidR="00B4514A">
        <w:rPr>
          <w:bCs/>
        </w:rPr>
        <w:t>para mejorar la calidad de la etiquetación</w:t>
      </w:r>
      <w:r w:rsidR="00B4514A">
        <w:rPr>
          <w:bCs/>
        </w:rPr>
        <w:t xml:space="preserve"> e identificar </w:t>
      </w:r>
      <w:r w:rsidRPr="000F043C">
        <w:rPr>
          <w:bCs/>
        </w:rPr>
        <w:t xml:space="preserve">estratégicamente cuales son los programas presupuestarios que dan respuesta </w:t>
      </w:r>
      <w:r w:rsidR="007C1FF4">
        <w:rPr>
          <w:bCs/>
        </w:rPr>
        <w:t>a la temática</w:t>
      </w:r>
      <w:r w:rsidRPr="000F043C">
        <w:rPr>
          <w:bCs/>
        </w:rPr>
        <w:t xml:space="preserve">, Así mismo se evidencia que </w:t>
      </w:r>
      <w:r w:rsidR="00716870" w:rsidRPr="000F043C">
        <w:rPr>
          <w:bCs/>
        </w:rPr>
        <w:t xml:space="preserve">a pesar </w:t>
      </w:r>
      <w:r w:rsidR="00716870">
        <w:rPr>
          <w:bCs/>
        </w:rPr>
        <w:t>de que</w:t>
      </w:r>
      <w:r w:rsidR="001B0009">
        <w:rPr>
          <w:bCs/>
        </w:rPr>
        <w:t xml:space="preserve">, </w:t>
      </w:r>
      <w:r w:rsidRPr="000F043C">
        <w:rPr>
          <w:bCs/>
        </w:rPr>
        <w:t xml:space="preserve">el empoderamiento económico </w:t>
      </w:r>
      <w:r w:rsidR="001B0009">
        <w:rPr>
          <w:bCs/>
        </w:rPr>
        <w:t xml:space="preserve">es </w:t>
      </w:r>
      <w:r w:rsidR="001B0009" w:rsidRPr="000F043C">
        <w:rPr>
          <w:bCs/>
        </w:rPr>
        <w:t>uno de los temas más importantes</w:t>
      </w:r>
      <w:r w:rsidRPr="000F043C">
        <w:rPr>
          <w:bCs/>
        </w:rPr>
        <w:t>, solamente 171 municipios vincularon estructuras a</w:t>
      </w:r>
      <w:r w:rsidR="001B0009">
        <w:rPr>
          <w:bCs/>
        </w:rPr>
        <w:t xml:space="preserve"> este </w:t>
      </w:r>
      <w:r w:rsidRPr="000F043C">
        <w:rPr>
          <w:bCs/>
        </w:rPr>
        <w:t>eje.</w:t>
      </w:r>
    </w:p>
    <w:p w14:paraId="6B45F3AB" w14:textId="132498BE" w:rsidR="00716870" w:rsidRPr="000F043C" w:rsidRDefault="00716870" w:rsidP="000F043C">
      <w:pPr>
        <w:tabs>
          <w:tab w:val="left" w:pos="2250"/>
        </w:tabs>
        <w:spacing w:after="0" w:line="360" w:lineRule="auto"/>
        <w:jc w:val="both"/>
        <w:rPr>
          <w:bCs/>
        </w:rPr>
      </w:pPr>
    </w:p>
    <w:p w14:paraId="116858A4" w14:textId="53068CF6" w:rsidR="00E7465A" w:rsidRDefault="00E7465A" w:rsidP="00153122">
      <w:pPr>
        <w:tabs>
          <w:tab w:val="left" w:pos="2250"/>
        </w:tabs>
        <w:spacing w:after="0" w:line="360" w:lineRule="auto"/>
        <w:jc w:val="center"/>
        <w:rPr>
          <w:b/>
          <w:bCs/>
        </w:rPr>
      </w:pPr>
    </w:p>
    <w:p w14:paraId="3D5A94B5" w14:textId="5707A757" w:rsidR="00752D95" w:rsidRDefault="00752D95" w:rsidP="00153122">
      <w:pPr>
        <w:tabs>
          <w:tab w:val="left" w:pos="2250"/>
        </w:tabs>
        <w:spacing w:after="0" w:line="360" w:lineRule="auto"/>
        <w:jc w:val="center"/>
        <w:rPr>
          <w:b/>
          <w:bCs/>
        </w:rPr>
      </w:pPr>
    </w:p>
    <w:p w14:paraId="5BAB884D" w14:textId="5E98C7B0" w:rsidR="00752D95" w:rsidRDefault="00752D95" w:rsidP="00153122">
      <w:pPr>
        <w:tabs>
          <w:tab w:val="left" w:pos="2250"/>
        </w:tabs>
        <w:spacing w:after="0" w:line="360" w:lineRule="auto"/>
        <w:jc w:val="center"/>
        <w:rPr>
          <w:b/>
          <w:bCs/>
        </w:rPr>
      </w:pPr>
    </w:p>
    <w:p w14:paraId="2631A359" w14:textId="77777777" w:rsidR="00752D95" w:rsidRDefault="00752D95" w:rsidP="00153122">
      <w:pPr>
        <w:tabs>
          <w:tab w:val="left" w:pos="2250"/>
        </w:tabs>
        <w:spacing w:after="0" w:line="360" w:lineRule="auto"/>
        <w:jc w:val="center"/>
        <w:rPr>
          <w:b/>
          <w:bCs/>
        </w:rPr>
      </w:pPr>
    </w:p>
    <w:p w14:paraId="505220D4" w14:textId="77777777" w:rsidR="002A015D" w:rsidRDefault="00E7465A" w:rsidP="00E7465A">
      <w:pPr>
        <w:tabs>
          <w:tab w:val="left" w:pos="2250"/>
        </w:tabs>
        <w:spacing w:after="0" w:line="240" w:lineRule="auto"/>
        <w:jc w:val="center"/>
        <w:rPr>
          <w:b/>
          <w:bCs/>
        </w:rPr>
      </w:pPr>
      <w:r w:rsidRPr="00E7465A">
        <w:rPr>
          <w:b/>
          <w:bCs/>
        </w:rPr>
        <w:lastRenderedPageBreak/>
        <w:t xml:space="preserve">Tabla No. </w:t>
      </w:r>
      <w:r w:rsidR="00950420">
        <w:rPr>
          <w:b/>
          <w:bCs/>
        </w:rPr>
        <w:t>10</w:t>
      </w:r>
      <w:r w:rsidRPr="00E7465A">
        <w:rPr>
          <w:b/>
          <w:bCs/>
        </w:rPr>
        <w:t xml:space="preserve"> </w:t>
      </w:r>
    </w:p>
    <w:p w14:paraId="25AE8E8B" w14:textId="6BD11CFE" w:rsidR="00E7465A" w:rsidRDefault="00E7465A" w:rsidP="00E7465A">
      <w:pPr>
        <w:tabs>
          <w:tab w:val="left" w:pos="2250"/>
        </w:tabs>
        <w:spacing w:after="0" w:line="240" w:lineRule="auto"/>
        <w:jc w:val="center"/>
        <w:rPr>
          <w:b/>
          <w:bCs/>
        </w:rPr>
      </w:pPr>
      <w:r w:rsidRPr="00E7465A">
        <w:rPr>
          <w:b/>
          <w:bCs/>
        </w:rPr>
        <w:t>Programas presupuestarios etiquetados</w:t>
      </w:r>
      <w:r>
        <w:rPr>
          <w:b/>
          <w:bCs/>
        </w:rPr>
        <w:t xml:space="preserve"> a nivel municipal, </w:t>
      </w:r>
      <w:r w:rsidRPr="00E7465A">
        <w:rPr>
          <w:b/>
          <w:bCs/>
        </w:rPr>
        <w:t>al eje 2. Recursos Naturales Tierra y Vivienda del Clasificador Presupuestario con Enfoque de Género.</w:t>
      </w:r>
    </w:p>
    <w:p w14:paraId="59B1EF95" w14:textId="14407D80" w:rsidR="00E7465A" w:rsidRDefault="00E7465A" w:rsidP="00153122">
      <w:pPr>
        <w:tabs>
          <w:tab w:val="left" w:pos="2250"/>
        </w:tabs>
        <w:spacing w:after="0" w:line="360" w:lineRule="auto"/>
        <w:jc w:val="center"/>
        <w:rPr>
          <w:b/>
          <w:bCs/>
        </w:rPr>
      </w:pPr>
      <w:r w:rsidRPr="00E7465A">
        <w:rPr>
          <w:noProof/>
          <w:lang w:eastAsia="es-GT"/>
        </w:rPr>
        <w:drawing>
          <wp:inline distT="0" distB="0" distL="0" distR="0" wp14:anchorId="02B8BA87" wp14:editId="6F9D709B">
            <wp:extent cx="5612130" cy="278511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2785110"/>
                    </a:xfrm>
                    <a:prstGeom prst="rect">
                      <a:avLst/>
                    </a:prstGeom>
                    <a:noFill/>
                    <a:ln>
                      <a:noFill/>
                    </a:ln>
                  </pic:spPr>
                </pic:pic>
              </a:graphicData>
            </a:graphic>
          </wp:inline>
        </w:drawing>
      </w:r>
    </w:p>
    <w:p w14:paraId="49C08FEF" w14:textId="77777777" w:rsidR="009E57EC" w:rsidRPr="00387A2F" w:rsidRDefault="009E57EC" w:rsidP="009E57EC">
      <w:pPr>
        <w:spacing w:after="0" w:line="240" w:lineRule="auto"/>
        <w:rPr>
          <w:rFonts w:ascii="Calibri" w:eastAsia="Times New Roman" w:hAnsi="Calibri" w:cs="Times New Roman"/>
          <w:b/>
          <w:bCs/>
          <w:color w:val="000000"/>
          <w:sz w:val="18"/>
          <w:szCs w:val="18"/>
          <w:lang w:eastAsia="es-GT"/>
        </w:rPr>
      </w:pPr>
      <w:r w:rsidRPr="00387A2F">
        <w:rPr>
          <w:color w:val="231F20"/>
          <w:sz w:val="18"/>
          <w:szCs w:val="18"/>
        </w:rPr>
        <w:t xml:space="preserve">Fuente: Sistema de Contabilidad Integrada (SICOIN), </w:t>
      </w:r>
      <w:r>
        <w:rPr>
          <w:color w:val="231F20"/>
          <w:sz w:val="18"/>
          <w:szCs w:val="18"/>
        </w:rPr>
        <w:t>del 1 de enero al 30 de junio</w:t>
      </w:r>
      <w:r w:rsidRPr="00387A2F">
        <w:rPr>
          <w:color w:val="231F20"/>
          <w:sz w:val="18"/>
          <w:szCs w:val="18"/>
        </w:rPr>
        <w:t xml:space="preserve"> del 2021</w:t>
      </w:r>
    </w:p>
    <w:p w14:paraId="091B60DC" w14:textId="77777777" w:rsidR="009E57EC" w:rsidRDefault="009E57EC" w:rsidP="00153122">
      <w:pPr>
        <w:tabs>
          <w:tab w:val="left" w:pos="2250"/>
        </w:tabs>
        <w:spacing w:after="0" w:line="360" w:lineRule="auto"/>
        <w:jc w:val="center"/>
        <w:rPr>
          <w:b/>
          <w:bCs/>
        </w:rPr>
      </w:pPr>
    </w:p>
    <w:p w14:paraId="4B6D14A7" w14:textId="73E54D45" w:rsidR="00E7465A" w:rsidRDefault="00973D0B" w:rsidP="000F043C">
      <w:pPr>
        <w:tabs>
          <w:tab w:val="left" w:pos="2250"/>
        </w:tabs>
        <w:spacing w:after="0" w:line="360" w:lineRule="auto"/>
        <w:jc w:val="both"/>
        <w:rPr>
          <w:bCs/>
        </w:rPr>
      </w:pPr>
      <w:r>
        <w:rPr>
          <w:bCs/>
        </w:rPr>
        <w:t xml:space="preserve">El acceso a recursos naturales para las mujeres </w:t>
      </w:r>
      <w:r w:rsidR="00677CAC">
        <w:rPr>
          <w:bCs/>
        </w:rPr>
        <w:t>y el</w:t>
      </w:r>
      <w:r>
        <w:rPr>
          <w:bCs/>
        </w:rPr>
        <w:t xml:space="preserve"> acceso a tierra</w:t>
      </w:r>
      <w:r w:rsidRPr="000F043C">
        <w:rPr>
          <w:bCs/>
        </w:rPr>
        <w:t xml:space="preserve"> </w:t>
      </w:r>
      <w:r>
        <w:rPr>
          <w:bCs/>
        </w:rPr>
        <w:t>es uno</w:t>
      </w:r>
      <w:r w:rsidR="000F043C" w:rsidRPr="000F043C">
        <w:rPr>
          <w:bCs/>
        </w:rPr>
        <w:t xml:space="preserve"> de los temas más sensibles a nivel de los gobiernos locales</w:t>
      </w:r>
      <w:r>
        <w:rPr>
          <w:bCs/>
        </w:rPr>
        <w:t xml:space="preserve"> y </w:t>
      </w:r>
      <w:r w:rsidR="000F043C" w:rsidRPr="000F043C">
        <w:rPr>
          <w:bCs/>
        </w:rPr>
        <w:t xml:space="preserve">se hace necesario identificar las intervenciones que están etiquetadas al eje de Recursos Naturales, Tierra y Vivienda </w:t>
      </w:r>
      <w:r w:rsidR="000F043C">
        <w:rPr>
          <w:bCs/>
        </w:rPr>
        <w:t>del clasificador</w:t>
      </w:r>
      <w:r w:rsidR="00677CAC">
        <w:rPr>
          <w:bCs/>
        </w:rPr>
        <w:t xml:space="preserve"> presupuestario</w:t>
      </w:r>
      <w:r>
        <w:rPr>
          <w:bCs/>
        </w:rPr>
        <w:t xml:space="preserve">. Al respecto </w:t>
      </w:r>
      <w:r w:rsidR="000F043C">
        <w:rPr>
          <w:bCs/>
        </w:rPr>
        <w:t xml:space="preserve">podemos </w:t>
      </w:r>
      <w:r>
        <w:rPr>
          <w:bCs/>
        </w:rPr>
        <w:t>observar</w:t>
      </w:r>
      <w:r w:rsidR="000F043C">
        <w:rPr>
          <w:bCs/>
        </w:rPr>
        <w:t xml:space="preserve"> que a nivel territo</w:t>
      </w:r>
      <w:r w:rsidR="000A7F0B">
        <w:rPr>
          <w:bCs/>
        </w:rPr>
        <w:t>rial se ha</w:t>
      </w:r>
      <w:r>
        <w:rPr>
          <w:bCs/>
        </w:rPr>
        <w:t>n</w:t>
      </w:r>
      <w:r w:rsidR="000A7F0B">
        <w:rPr>
          <w:bCs/>
        </w:rPr>
        <w:t xml:space="preserve"> identificado programas presupuestarios como el programa 12</w:t>
      </w:r>
      <w:r>
        <w:rPr>
          <w:bCs/>
        </w:rPr>
        <w:t xml:space="preserve">: </w:t>
      </w:r>
      <w:r w:rsidR="000A7F0B">
        <w:rPr>
          <w:bCs/>
        </w:rPr>
        <w:t>Apoyo al Consumo Adecuado de Alimentos, el cual tiene una vinculación de Q.165 millones</w:t>
      </w:r>
      <w:r>
        <w:rPr>
          <w:bCs/>
        </w:rPr>
        <w:t xml:space="preserve">. Este programa tiene como </w:t>
      </w:r>
      <w:r w:rsidR="000A7F0B">
        <w:rPr>
          <w:bCs/>
        </w:rPr>
        <w:t xml:space="preserve">producto final municipal </w:t>
      </w:r>
      <w:r>
        <w:rPr>
          <w:bCs/>
        </w:rPr>
        <w:t>a</w:t>
      </w:r>
      <w:r w:rsidR="00B038F4">
        <w:rPr>
          <w:bCs/>
        </w:rPr>
        <w:t xml:space="preserve"> “mujeres</w:t>
      </w:r>
      <w:r w:rsidR="000A7F0B">
        <w:rPr>
          <w:bCs/>
        </w:rPr>
        <w:t xml:space="preserve"> con buenas prácticas para la preparación de alimentos</w:t>
      </w:r>
      <w:r w:rsidR="00B038F4">
        <w:rPr>
          <w:bCs/>
        </w:rPr>
        <w:t>”</w:t>
      </w:r>
      <w:r>
        <w:rPr>
          <w:bCs/>
        </w:rPr>
        <w:t>;</w:t>
      </w:r>
      <w:r w:rsidR="000A7F0B">
        <w:rPr>
          <w:bCs/>
        </w:rPr>
        <w:t xml:space="preserve"> en tal sentido se considera desde los gobiernos locales que la dotación de una capacidad técnica contribuye de manera directa al tema de recursos naturales</w:t>
      </w:r>
      <w:r w:rsidR="00C83099">
        <w:rPr>
          <w:bCs/>
        </w:rPr>
        <w:t xml:space="preserve">. </w:t>
      </w:r>
      <w:r w:rsidR="000A7F0B">
        <w:rPr>
          <w:bCs/>
        </w:rPr>
        <w:t xml:space="preserve"> </w:t>
      </w:r>
    </w:p>
    <w:p w14:paraId="27685EF6" w14:textId="77777777" w:rsidR="00716870" w:rsidRDefault="00716870" w:rsidP="000F043C">
      <w:pPr>
        <w:tabs>
          <w:tab w:val="left" w:pos="2250"/>
        </w:tabs>
        <w:spacing w:after="0" w:line="360" w:lineRule="auto"/>
        <w:jc w:val="both"/>
        <w:rPr>
          <w:bCs/>
        </w:rPr>
      </w:pPr>
    </w:p>
    <w:p w14:paraId="44013B99" w14:textId="49FF05FC" w:rsidR="00E7465A" w:rsidRDefault="00E7465A" w:rsidP="00153122">
      <w:pPr>
        <w:tabs>
          <w:tab w:val="left" w:pos="2250"/>
        </w:tabs>
        <w:spacing w:after="0" w:line="360" w:lineRule="auto"/>
        <w:jc w:val="center"/>
        <w:rPr>
          <w:b/>
          <w:bCs/>
        </w:rPr>
      </w:pPr>
    </w:p>
    <w:p w14:paraId="57957248" w14:textId="1B4E16EA" w:rsidR="00752D95" w:rsidRDefault="00752D95" w:rsidP="00153122">
      <w:pPr>
        <w:tabs>
          <w:tab w:val="left" w:pos="2250"/>
        </w:tabs>
        <w:spacing w:after="0" w:line="360" w:lineRule="auto"/>
        <w:jc w:val="center"/>
        <w:rPr>
          <w:b/>
          <w:bCs/>
        </w:rPr>
      </w:pPr>
    </w:p>
    <w:p w14:paraId="1DD1D1EC" w14:textId="156F0615" w:rsidR="00752D95" w:rsidRDefault="00752D95" w:rsidP="00153122">
      <w:pPr>
        <w:tabs>
          <w:tab w:val="left" w:pos="2250"/>
        </w:tabs>
        <w:spacing w:after="0" w:line="360" w:lineRule="auto"/>
        <w:jc w:val="center"/>
        <w:rPr>
          <w:b/>
          <w:bCs/>
        </w:rPr>
      </w:pPr>
    </w:p>
    <w:p w14:paraId="5F4901B5" w14:textId="0ED371CC" w:rsidR="00752D95" w:rsidRDefault="00752D95" w:rsidP="00153122">
      <w:pPr>
        <w:tabs>
          <w:tab w:val="left" w:pos="2250"/>
        </w:tabs>
        <w:spacing w:after="0" w:line="360" w:lineRule="auto"/>
        <w:jc w:val="center"/>
        <w:rPr>
          <w:b/>
          <w:bCs/>
        </w:rPr>
      </w:pPr>
    </w:p>
    <w:p w14:paraId="60C147F2" w14:textId="71F1E887" w:rsidR="00752D95" w:rsidRDefault="00752D95" w:rsidP="00153122">
      <w:pPr>
        <w:tabs>
          <w:tab w:val="left" w:pos="2250"/>
        </w:tabs>
        <w:spacing w:after="0" w:line="360" w:lineRule="auto"/>
        <w:jc w:val="center"/>
        <w:rPr>
          <w:b/>
          <w:bCs/>
        </w:rPr>
      </w:pPr>
    </w:p>
    <w:p w14:paraId="6872662C" w14:textId="74BF040A" w:rsidR="00752D95" w:rsidRDefault="00752D95" w:rsidP="00153122">
      <w:pPr>
        <w:tabs>
          <w:tab w:val="left" w:pos="2250"/>
        </w:tabs>
        <w:spacing w:after="0" w:line="360" w:lineRule="auto"/>
        <w:jc w:val="center"/>
        <w:rPr>
          <w:b/>
          <w:bCs/>
        </w:rPr>
      </w:pPr>
    </w:p>
    <w:p w14:paraId="5F0AFB7A" w14:textId="77777777" w:rsidR="00B4514A" w:rsidRDefault="00B4514A" w:rsidP="00153122">
      <w:pPr>
        <w:tabs>
          <w:tab w:val="left" w:pos="2250"/>
        </w:tabs>
        <w:spacing w:after="0" w:line="360" w:lineRule="auto"/>
        <w:jc w:val="center"/>
        <w:rPr>
          <w:b/>
          <w:bCs/>
        </w:rPr>
      </w:pPr>
    </w:p>
    <w:p w14:paraId="66EE7EA1" w14:textId="77777777" w:rsidR="00752D95" w:rsidRDefault="00752D95" w:rsidP="00153122">
      <w:pPr>
        <w:tabs>
          <w:tab w:val="left" w:pos="2250"/>
        </w:tabs>
        <w:spacing w:after="0" w:line="360" w:lineRule="auto"/>
        <w:jc w:val="center"/>
        <w:rPr>
          <w:b/>
          <w:bCs/>
        </w:rPr>
      </w:pPr>
    </w:p>
    <w:p w14:paraId="55959B27" w14:textId="77777777" w:rsidR="002A015D" w:rsidRDefault="00E7465A" w:rsidP="00E7465A">
      <w:pPr>
        <w:tabs>
          <w:tab w:val="left" w:pos="2250"/>
        </w:tabs>
        <w:spacing w:after="0" w:line="240" w:lineRule="auto"/>
        <w:contextualSpacing/>
        <w:jc w:val="center"/>
        <w:rPr>
          <w:b/>
          <w:bCs/>
        </w:rPr>
      </w:pPr>
      <w:r w:rsidRPr="00E7465A">
        <w:rPr>
          <w:b/>
          <w:bCs/>
        </w:rPr>
        <w:lastRenderedPageBreak/>
        <w:t>Tabla No.</w:t>
      </w:r>
      <w:r w:rsidR="00950420">
        <w:rPr>
          <w:b/>
          <w:bCs/>
        </w:rPr>
        <w:t>11</w:t>
      </w:r>
    </w:p>
    <w:p w14:paraId="16C85A75" w14:textId="64B3822B" w:rsidR="00E7465A" w:rsidRDefault="00E7465A" w:rsidP="00E7465A">
      <w:pPr>
        <w:tabs>
          <w:tab w:val="left" w:pos="2250"/>
        </w:tabs>
        <w:spacing w:after="0" w:line="240" w:lineRule="auto"/>
        <w:contextualSpacing/>
        <w:jc w:val="center"/>
        <w:rPr>
          <w:b/>
          <w:bCs/>
        </w:rPr>
      </w:pPr>
      <w:r w:rsidRPr="00E7465A">
        <w:rPr>
          <w:b/>
          <w:bCs/>
        </w:rPr>
        <w:t xml:space="preserve"> Programas presupuestarios</w:t>
      </w:r>
      <w:r>
        <w:rPr>
          <w:b/>
          <w:bCs/>
        </w:rPr>
        <w:t xml:space="preserve"> a nivel </w:t>
      </w:r>
      <w:r w:rsidR="000A7F0B">
        <w:rPr>
          <w:b/>
          <w:bCs/>
        </w:rPr>
        <w:t xml:space="preserve">municipal, </w:t>
      </w:r>
      <w:r w:rsidR="000A7F0B" w:rsidRPr="00E7465A">
        <w:rPr>
          <w:b/>
          <w:bCs/>
        </w:rPr>
        <w:t>etiquetados</w:t>
      </w:r>
      <w:r w:rsidRPr="00E7465A">
        <w:rPr>
          <w:b/>
          <w:bCs/>
        </w:rPr>
        <w:t xml:space="preserve"> al eje 3. Equidad Educativa con Pertinencia Cultural del Clasificador Presupuestario con Enfoque de Género.</w:t>
      </w:r>
    </w:p>
    <w:p w14:paraId="64F2D064" w14:textId="3E1E3597" w:rsidR="00E7465A" w:rsidRDefault="00E7465A" w:rsidP="00153122">
      <w:pPr>
        <w:tabs>
          <w:tab w:val="left" w:pos="2250"/>
        </w:tabs>
        <w:spacing w:after="0" w:line="360" w:lineRule="auto"/>
        <w:jc w:val="center"/>
        <w:rPr>
          <w:b/>
          <w:bCs/>
        </w:rPr>
      </w:pPr>
      <w:r w:rsidRPr="00E7465A">
        <w:rPr>
          <w:noProof/>
          <w:lang w:eastAsia="es-GT"/>
        </w:rPr>
        <w:drawing>
          <wp:inline distT="0" distB="0" distL="0" distR="0" wp14:anchorId="1E926585" wp14:editId="5F01B9A0">
            <wp:extent cx="5753100" cy="20478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047875"/>
                    </a:xfrm>
                    <a:prstGeom prst="rect">
                      <a:avLst/>
                    </a:prstGeom>
                    <a:noFill/>
                    <a:ln>
                      <a:noFill/>
                    </a:ln>
                  </pic:spPr>
                </pic:pic>
              </a:graphicData>
            </a:graphic>
          </wp:inline>
        </w:drawing>
      </w:r>
    </w:p>
    <w:p w14:paraId="22285D2D" w14:textId="77777777" w:rsidR="009E57EC" w:rsidRPr="00387A2F" w:rsidRDefault="009E57EC" w:rsidP="009E57EC">
      <w:pPr>
        <w:spacing w:after="0" w:line="240" w:lineRule="auto"/>
        <w:rPr>
          <w:rFonts w:ascii="Calibri" w:eastAsia="Times New Roman" w:hAnsi="Calibri" w:cs="Times New Roman"/>
          <w:b/>
          <w:bCs/>
          <w:color w:val="000000"/>
          <w:sz w:val="18"/>
          <w:szCs w:val="18"/>
          <w:lang w:eastAsia="es-GT"/>
        </w:rPr>
      </w:pPr>
      <w:r w:rsidRPr="00387A2F">
        <w:rPr>
          <w:color w:val="231F20"/>
          <w:sz w:val="18"/>
          <w:szCs w:val="18"/>
        </w:rPr>
        <w:t xml:space="preserve">Fuente: Sistema de Contabilidad Integrada (SICOIN), </w:t>
      </w:r>
      <w:r>
        <w:rPr>
          <w:color w:val="231F20"/>
          <w:sz w:val="18"/>
          <w:szCs w:val="18"/>
        </w:rPr>
        <w:t>del 1 de enero al 30 de junio</w:t>
      </w:r>
      <w:r w:rsidRPr="00387A2F">
        <w:rPr>
          <w:color w:val="231F20"/>
          <w:sz w:val="18"/>
          <w:szCs w:val="18"/>
        </w:rPr>
        <w:t xml:space="preserve"> del 2021</w:t>
      </w:r>
    </w:p>
    <w:p w14:paraId="4C9C4C1F" w14:textId="23210F44" w:rsidR="00E7465A" w:rsidRDefault="00E7465A" w:rsidP="00153122">
      <w:pPr>
        <w:tabs>
          <w:tab w:val="left" w:pos="2250"/>
        </w:tabs>
        <w:spacing w:after="0" w:line="360" w:lineRule="auto"/>
        <w:jc w:val="center"/>
        <w:rPr>
          <w:b/>
          <w:bCs/>
        </w:rPr>
      </w:pPr>
    </w:p>
    <w:p w14:paraId="46535A8D" w14:textId="57384BF3" w:rsidR="00E7465A" w:rsidRDefault="000A7F0B" w:rsidP="000A7F0B">
      <w:pPr>
        <w:tabs>
          <w:tab w:val="left" w:pos="2250"/>
        </w:tabs>
        <w:spacing w:after="0" w:line="360" w:lineRule="auto"/>
        <w:jc w:val="both"/>
        <w:rPr>
          <w:bCs/>
        </w:rPr>
      </w:pPr>
      <w:r w:rsidRPr="000A7F0B">
        <w:rPr>
          <w:bCs/>
        </w:rPr>
        <w:t>El tema de educación a nivel de los gobiernos locales es una competencia delegada, sin embargo los gobiernos locales realizan esfuerzos para acercar  y garantizar la educación a nivel local, por lo que se identificó durante el semestre 2021, que 91 municipios etiquetaron intervenciones presupuestarias al clasificador, sin embargo dentro de la etiquetación se identifican programas presupuestarios que no están relacionados con la educación de manera directa, tal es el caso del Programa 20 Protección Social, en donde el producto final municipal está orientado a satisfacer necesidades varias y no la educación.</w:t>
      </w:r>
    </w:p>
    <w:p w14:paraId="25C688AA" w14:textId="1B4669F2" w:rsidR="000A7F0B" w:rsidRDefault="000A7F0B" w:rsidP="000A7F0B">
      <w:pPr>
        <w:tabs>
          <w:tab w:val="left" w:pos="2250"/>
        </w:tabs>
        <w:spacing w:after="0" w:line="360" w:lineRule="auto"/>
        <w:jc w:val="both"/>
        <w:rPr>
          <w:bCs/>
        </w:rPr>
      </w:pPr>
    </w:p>
    <w:p w14:paraId="5793D235" w14:textId="03FDBA8D" w:rsidR="00E7465A" w:rsidRDefault="000A7F0B" w:rsidP="000A7F0B">
      <w:pPr>
        <w:tabs>
          <w:tab w:val="left" w:pos="2250"/>
        </w:tabs>
        <w:spacing w:after="0" w:line="360" w:lineRule="auto"/>
        <w:jc w:val="both"/>
        <w:rPr>
          <w:b/>
          <w:bCs/>
        </w:rPr>
      </w:pPr>
      <w:r>
        <w:rPr>
          <w:bCs/>
        </w:rPr>
        <w:t>Se evidencia que 56 municipios a través de la asistencia técnica que se brindó orientaron sus etiquetaciones de manera adecuada al tema de educación, esto a través de la revisión y acompañamiento a la identificación de las estructuras programáticas con base al presupuesto municipal.</w:t>
      </w:r>
    </w:p>
    <w:p w14:paraId="7F67BC3C" w14:textId="10365F1A" w:rsidR="006A5709" w:rsidRDefault="006A5709" w:rsidP="00153122">
      <w:pPr>
        <w:tabs>
          <w:tab w:val="left" w:pos="2250"/>
        </w:tabs>
        <w:spacing w:after="0" w:line="360" w:lineRule="auto"/>
        <w:jc w:val="center"/>
        <w:rPr>
          <w:b/>
          <w:bCs/>
        </w:rPr>
      </w:pPr>
    </w:p>
    <w:p w14:paraId="10EB2D02" w14:textId="292A60EC" w:rsidR="00677E96" w:rsidRDefault="00677E96" w:rsidP="00153122">
      <w:pPr>
        <w:tabs>
          <w:tab w:val="left" w:pos="2250"/>
        </w:tabs>
        <w:spacing w:after="0" w:line="360" w:lineRule="auto"/>
        <w:jc w:val="center"/>
        <w:rPr>
          <w:b/>
          <w:bCs/>
        </w:rPr>
      </w:pPr>
    </w:p>
    <w:p w14:paraId="59D5043E" w14:textId="5C109570" w:rsidR="00677E96" w:rsidRDefault="00677E96" w:rsidP="00153122">
      <w:pPr>
        <w:tabs>
          <w:tab w:val="left" w:pos="2250"/>
        </w:tabs>
        <w:spacing w:after="0" w:line="360" w:lineRule="auto"/>
        <w:jc w:val="center"/>
        <w:rPr>
          <w:b/>
          <w:bCs/>
        </w:rPr>
      </w:pPr>
    </w:p>
    <w:p w14:paraId="0341DE81" w14:textId="1101B529" w:rsidR="00677E96" w:rsidRDefault="00677E96" w:rsidP="00153122">
      <w:pPr>
        <w:tabs>
          <w:tab w:val="left" w:pos="2250"/>
        </w:tabs>
        <w:spacing w:after="0" w:line="360" w:lineRule="auto"/>
        <w:jc w:val="center"/>
        <w:rPr>
          <w:b/>
          <w:bCs/>
        </w:rPr>
      </w:pPr>
    </w:p>
    <w:p w14:paraId="098FA584" w14:textId="66CD653C" w:rsidR="00677E96" w:rsidRDefault="00677E96" w:rsidP="00153122">
      <w:pPr>
        <w:tabs>
          <w:tab w:val="left" w:pos="2250"/>
        </w:tabs>
        <w:spacing w:after="0" w:line="360" w:lineRule="auto"/>
        <w:jc w:val="center"/>
        <w:rPr>
          <w:b/>
          <w:bCs/>
        </w:rPr>
      </w:pPr>
    </w:p>
    <w:p w14:paraId="70B1960C" w14:textId="435E5D4C" w:rsidR="00677E96" w:rsidRDefault="00677E96" w:rsidP="00153122">
      <w:pPr>
        <w:tabs>
          <w:tab w:val="left" w:pos="2250"/>
        </w:tabs>
        <w:spacing w:after="0" w:line="360" w:lineRule="auto"/>
        <w:jc w:val="center"/>
        <w:rPr>
          <w:b/>
          <w:bCs/>
        </w:rPr>
      </w:pPr>
    </w:p>
    <w:p w14:paraId="162E0E9E" w14:textId="7FF38D59" w:rsidR="00B4514A" w:rsidRDefault="00B4514A" w:rsidP="00153122">
      <w:pPr>
        <w:tabs>
          <w:tab w:val="left" w:pos="2250"/>
        </w:tabs>
        <w:spacing w:after="0" w:line="360" w:lineRule="auto"/>
        <w:jc w:val="center"/>
        <w:rPr>
          <w:b/>
          <w:bCs/>
        </w:rPr>
      </w:pPr>
    </w:p>
    <w:p w14:paraId="3D829A40" w14:textId="77777777" w:rsidR="00B4514A" w:rsidRDefault="00B4514A" w:rsidP="00153122">
      <w:pPr>
        <w:tabs>
          <w:tab w:val="left" w:pos="2250"/>
        </w:tabs>
        <w:spacing w:after="0" w:line="360" w:lineRule="auto"/>
        <w:jc w:val="center"/>
        <w:rPr>
          <w:b/>
          <w:bCs/>
        </w:rPr>
      </w:pPr>
    </w:p>
    <w:p w14:paraId="10E7B7CB" w14:textId="77777777" w:rsidR="002A015D" w:rsidRDefault="006A5709" w:rsidP="006A5709">
      <w:pPr>
        <w:tabs>
          <w:tab w:val="left" w:pos="2250"/>
        </w:tabs>
        <w:spacing w:after="0" w:line="240" w:lineRule="auto"/>
        <w:jc w:val="center"/>
        <w:rPr>
          <w:b/>
          <w:bCs/>
        </w:rPr>
      </w:pPr>
      <w:r w:rsidRPr="00E7465A">
        <w:rPr>
          <w:b/>
          <w:bCs/>
        </w:rPr>
        <w:lastRenderedPageBreak/>
        <w:t xml:space="preserve">Tabla No. </w:t>
      </w:r>
      <w:r w:rsidR="00950420">
        <w:rPr>
          <w:b/>
          <w:bCs/>
        </w:rPr>
        <w:t>12</w:t>
      </w:r>
      <w:r w:rsidRPr="00E7465A">
        <w:rPr>
          <w:b/>
          <w:bCs/>
        </w:rPr>
        <w:t xml:space="preserve"> </w:t>
      </w:r>
    </w:p>
    <w:p w14:paraId="0A414858" w14:textId="2AFB974A" w:rsidR="006A5709" w:rsidRDefault="006A5709" w:rsidP="006A5709">
      <w:pPr>
        <w:tabs>
          <w:tab w:val="left" w:pos="2250"/>
        </w:tabs>
        <w:spacing w:after="0" w:line="240" w:lineRule="auto"/>
        <w:jc w:val="center"/>
        <w:rPr>
          <w:b/>
          <w:bCs/>
        </w:rPr>
      </w:pPr>
      <w:r w:rsidRPr="00E7465A">
        <w:rPr>
          <w:b/>
          <w:bCs/>
        </w:rPr>
        <w:t>Programas presupuestarios</w:t>
      </w:r>
      <w:r>
        <w:rPr>
          <w:b/>
          <w:bCs/>
        </w:rPr>
        <w:t xml:space="preserve"> a nivel municipal, </w:t>
      </w:r>
      <w:r w:rsidRPr="00E7465A">
        <w:rPr>
          <w:b/>
          <w:bCs/>
        </w:rPr>
        <w:t xml:space="preserve">etiquetados al eje </w:t>
      </w:r>
      <w:r>
        <w:rPr>
          <w:b/>
          <w:bCs/>
        </w:rPr>
        <w:t>4</w:t>
      </w:r>
      <w:r w:rsidRPr="00E7465A">
        <w:rPr>
          <w:b/>
          <w:bCs/>
        </w:rPr>
        <w:t xml:space="preserve">. </w:t>
      </w:r>
      <w:r>
        <w:rPr>
          <w:b/>
          <w:bCs/>
        </w:rPr>
        <w:t xml:space="preserve">Equidad en la Salud con Pertinencia Cultural </w:t>
      </w:r>
      <w:r w:rsidRPr="00E7465A">
        <w:rPr>
          <w:b/>
          <w:bCs/>
        </w:rPr>
        <w:t>del Clasificador Presupuestario con Enfoque de Género.</w:t>
      </w:r>
    </w:p>
    <w:p w14:paraId="1D7AC35E" w14:textId="77777777" w:rsidR="006A5709" w:rsidRDefault="006A5709" w:rsidP="006A5709">
      <w:pPr>
        <w:tabs>
          <w:tab w:val="left" w:pos="2250"/>
        </w:tabs>
        <w:spacing w:after="0" w:line="240" w:lineRule="auto"/>
        <w:jc w:val="center"/>
        <w:rPr>
          <w:b/>
          <w:bCs/>
        </w:rPr>
      </w:pPr>
    </w:p>
    <w:p w14:paraId="09454075" w14:textId="1E86965B" w:rsidR="006A5709" w:rsidRDefault="006A5709" w:rsidP="00153122">
      <w:pPr>
        <w:tabs>
          <w:tab w:val="left" w:pos="2250"/>
        </w:tabs>
        <w:spacing w:after="0" w:line="360" w:lineRule="auto"/>
        <w:jc w:val="center"/>
        <w:rPr>
          <w:b/>
          <w:bCs/>
        </w:rPr>
      </w:pPr>
      <w:r w:rsidRPr="006A5709">
        <w:rPr>
          <w:noProof/>
          <w:lang w:eastAsia="es-GT"/>
        </w:rPr>
        <w:drawing>
          <wp:inline distT="0" distB="0" distL="0" distR="0" wp14:anchorId="2AD72922" wp14:editId="5B52FCB6">
            <wp:extent cx="5611164" cy="2181225"/>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738" cy="2181837"/>
                    </a:xfrm>
                    <a:prstGeom prst="rect">
                      <a:avLst/>
                    </a:prstGeom>
                    <a:noFill/>
                    <a:ln>
                      <a:noFill/>
                    </a:ln>
                  </pic:spPr>
                </pic:pic>
              </a:graphicData>
            </a:graphic>
          </wp:inline>
        </w:drawing>
      </w:r>
    </w:p>
    <w:p w14:paraId="56FCF8AA" w14:textId="77777777" w:rsidR="009E57EC" w:rsidRPr="00387A2F" w:rsidRDefault="009E57EC" w:rsidP="009E57EC">
      <w:pPr>
        <w:spacing w:after="0" w:line="240" w:lineRule="auto"/>
        <w:rPr>
          <w:rFonts w:ascii="Calibri" w:eastAsia="Times New Roman" w:hAnsi="Calibri" w:cs="Times New Roman"/>
          <w:b/>
          <w:bCs/>
          <w:color w:val="000000"/>
          <w:sz w:val="18"/>
          <w:szCs w:val="18"/>
          <w:lang w:eastAsia="es-GT"/>
        </w:rPr>
      </w:pPr>
      <w:r w:rsidRPr="00387A2F">
        <w:rPr>
          <w:color w:val="231F20"/>
          <w:sz w:val="18"/>
          <w:szCs w:val="18"/>
        </w:rPr>
        <w:t xml:space="preserve">Fuente: Sistema de Contabilidad Integrada (SICOIN), </w:t>
      </w:r>
      <w:r>
        <w:rPr>
          <w:color w:val="231F20"/>
          <w:sz w:val="18"/>
          <w:szCs w:val="18"/>
        </w:rPr>
        <w:t>del 1 de enero al 30 de junio</w:t>
      </w:r>
      <w:r w:rsidRPr="00387A2F">
        <w:rPr>
          <w:color w:val="231F20"/>
          <w:sz w:val="18"/>
          <w:szCs w:val="18"/>
        </w:rPr>
        <w:t xml:space="preserve"> del 2021</w:t>
      </w:r>
    </w:p>
    <w:p w14:paraId="0B46E4D3" w14:textId="14DFC4AE" w:rsidR="000A7F0B" w:rsidRDefault="000A7F0B" w:rsidP="00153122">
      <w:pPr>
        <w:tabs>
          <w:tab w:val="left" w:pos="2250"/>
        </w:tabs>
        <w:spacing w:after="0" w:line="360" w:lineRule="auto"/>
        <w:jc w:val="center"/>
        <w:rPr>
          <w:b/>
          <w:bCs/>
        </w:rPr>
      </w:pPr>
    </w:p>
    <w:p w14:paraId="67890AF2" w14:textId="565DF377" w:rsidR="000A7F0B" w:rsidRDefault="000A7F0B" w:rsidP="00634AA5">
      <w:pPr>
        <w:tabs>
          <w:tab w:val="left" w:pos="2250"/>
        </w:tabs>
        <w:spacing w:after="0" w:line="360" w:lineRule="auto"/>
        <w:jc w:val="both"/>
        <w:rPr>
          <w:bCs/>
        </w:rPr>
      </w:pPr>
      <w:r w:rsidRPr="00634AA5">
        <w:rPr>
          <w:bCs/>
        </w:rPr>
        <w:t xml:space="preserve">Siendo la salud uno de los pilares fundamentales del desarrollo, los gobiernos locales realizan esfuerzos para contribuir a la misma, </w:t>
      </w:r>
      <w:r w:rsidR="004C734B" w:rsidRPr="004C734B">
        <w:rPr>
          <w:bCs/>
        </w:rPr>
        <w:t>uno de los programas presupuestarios vinculados fue el Programa 12</w:t>
      </w:r>
      <w:r w:rsidR="00B4514A">
        <w:rPr>
          <w:bCs/>
        </w:rPr>
        <w:t>,</w:t>
      </w:r>
      <w:r w:rsidR="004C734B" w:rsidRPr="004C734B">
        <w:rPr>
          <w:bCs/>
        </w:rPr>
        <w:t xml:space="preserve"> </w:t>
      </w:r>
      <w:r w:rsidR="00634AA5">
        <w:rPr>
          <w:bCs/>
        </w:rPr>
        <w:t>Apoyo al Consumo Adecuado de Alimentos</w:t>
      </w:r>
      <w:r w:rsidR="00B4514A">
        <w:rPr>
          <w:bCs/>
        </w:rPr>
        <w:t>.</w:t>
      </w:r>
      <w:r w:rsidR="00634AA5">
        <w:rPr>
          <w:bCs/>
        </w:rPr>
        <w:t xml:space="preserve"> </w:t>
      </w:r>
      <w:r w:rsidR="00B4514A">
        <w:rPr>
          <w:bCs/>
        </w:rPr>
        <w:t>En l</w:t>
      </w:r>
      <w:r w:rsidR="00634AA5">
        <w:rPr>
          <w:bCs/>
        </w:rPr>
        <w:t xml:space="preserve">a producción municipal o producto municipal </w:t>
      </w:r>
      <w:r w:rsidR="00B4514A">
        <w:rPr>
          <w:bCs/>
        </w:rPr>
        <w:t xml:space="preserve">se </w:t>
      </w:r>
      <w:r w:rsidR="00634AA5">
        <w:rPr>
          <w:bCs/>
        </w:rPr>
        <w:t xml:space="preserve">indica que </w:t>
      </w:r>
      <w:r w:rsidR="0004189B">
        <w:rPr>
          <w:bCs/>
        </w:rPr>
        <w:t xml:space="preserve">corresponde a </w:t>
      </w:r>
      <w:r w:rsidR="00751DBE">
        <w:rPr>
          <w:bCs/>
        </w:rPr>
        <w:t xml:space="preserve">la </w:t>
      </w:r>
      <w:r w:rsidR="0004189B">
        <w:rPr>
          <w:bCs/>
        </w:rPr>
        <w:t>provisión</w:t>
      </w:r>
      <w:r w:rsidR="00634AA5">
        <w:rPr>
          <w:bCs/>
        </w:rPr>
        <w:t xml:space="preserve"> de agua apta para consumo humano, lo que significa la construcción de pozos mecánicos, alcantarillado, es decir que han acercado el producto vital a </w:t>
      </w:r>
      <w:r w:rsidR="00751DBE">
        <w:rPr>
          <w:bCs/>
        </w:rPr>
        <w:t>las viviendas</w:t>
      </w:r>
      <w:r w:rsidR="00634AA5">
        <w:rPr>
          <w:bCs/>
        </w:rPr>
        <w:t xml:space="preserve"> y con ello han permitido contribuir significativamente en la vida de las mujeres, siendo ellas de manera indirecta las primeras </w:t>
      </w:r>
      <w:r w:rsidR="00751DBE">
        <w:rPr>
          <w:bCs/>
        </w:rPr>
        <w:t>beneficiadas; la</w:t>
      </w:r>
      <w:r w:rsidR="00634AA5">
        <w:rPr>
          <w:bCs/>
        </w:rPr>
        <w:t xml:space="preserve"> cantidad de municipios con este tipo de etiquetación es de 55.</w:t>
      </w:r>
    </w:p>
    <w:p w14:paraId="7267C41A" w14:textId="77777777" w:rsidR="004C734B" w:rsidRDefault="004C734B" w:rsidP="00634AA5">
      <w:pPr>
        <w:tabs>
          <w:tab w:val="left" w:pos="2250"/>
        </w:tabs>
        <w:spacing w:after="0" w:line="360" w:lineRule="auto"/>
        <w:jc w:val="both"/>
        <w:rPr>
          <w:bCs/>
        </w:rPr>
      </w:pPr>
    </w:p>
    <w:p w14:paraId="3A229451" w14:textId="44AB1595" w:rsidR="000A7F0B" w:rsidRDefault="00634AA5" w:rsidP="00634AA5">
      <w:pPr>
        <w:tabs>
          <w:tab w:val="left" w:pos="2250"/>
        </w:tabs>
        <w:spacing w:after="0" w:line="360" w:lineRule="auto"/>
        <w:jc w:val="both"/>
        <w:rPr>
          <w:b/>
          <w:bCs/>
        </w:rPr>
      </w:pPr>
      <w:r>
        <w:rPr>
          <w:bCs/>
        </w:rPr>
        <w:t>Así mismo se identifican acciones orientadas a la salud, como la prevención de la desnutrición crónica y la prevención de la mortalidad materna, en donde se identificó la construcción o remozamiento de centros de salud, centros de atención permanente y clínicas municipales.</w:t>
      </w:r>
    </w:p>
    <w:p w14:paraId="3B0A7415" w14:textId="4F48A36D" w:rsidR="00634AA5" w:rsidRDefault="00634AA5" w:rsidP="00153122">
      <w:pPr>
        <w:tabs>
          <w:tab w:val="left" w:pos="2250"/>
        </w:tabs>
        <w:spacing w:after="0" w:line="360" w:lineRule="auto"/>
        <w:jc w:val="center"/>
        <w:rPr>
          <w:b/>
          <w:bCs/>
        </w:rPr>
      </w:pPr>
    </w:p>
    <w:p w14:paraId="30B25FC5" w14:textId="4610D3DF" w:rsidR="007A285A" w:rsidRDefault="007A285A" w:rsidP="00153122">
      <w:pPr>
        <w:tabs>
          <w:tab w:val="left" w:pos="2250"/>
        </w:tabs>
        <w:spacing w:after="0" w:line="360" w:lineRule="auto"/>
        <w:jc w:val="center"/>
        <w:rPr>
          <w:b/>
          <w:bCs/>
        </w:rPr>
      </w:pPr>
    </w:p>
    <w:p w14:paraId="0E9CDA8C" w14:textId="3278D9BE" w:rsidR="007A285A" w:rsidRDefault="007A285A" w:rsidP="00153122">
      <w:pPr>
        <w:tabs>
          <w:tab w:val="left" w:pos="2250"/>
        </w:tabs>
        <w:spacing w:after="0" w:line="360" w:lineRule="auto"/>
        <w:jc w:val="center"/>
        <w:rPr>
          <w:b/>
          <w:bCs/>
        </w:rPr>
      </w:pPr>
    </w:p>
    <w:p w14:paraId="6146204B" w14:textId="5A51C805" w:rsidR="007A285A" w:rsidRDefault="007A285A" w:rsidP="00153122">
      <w:pPr>
        <w:tabs>
          <w:tab w:val="left" w:pos="2250"/>
        </w:tabs>
        <w:spacing w:after="0" w:line="360" w:lineRule="auto"/>
        <w:jc w:val="center"/>
        <w:rPr>
          <w:b/>
          <w:bCs/>
        </w:rPr>
      </w:pPr>
    </w:p>
    <w:p w14:paraId="0E733B71" w14:textId="75BC066F" w:rsidR="007A285A" w:rsidRDefault="007A285A" w:rsidP="00153122">
      <w:pPr>
        <w:tabs>
          <w:tab w:val="left" w:pos="2250"/>
        </w:tabs>
        <w:spacing w:after="0" w:line="360" w:lineRule="auto"/>
        <w:jc w:val="center"/>
        <w:rPr>
          <w:b/>
          <w:bCs/>
        </w:rPr>
      </w:pPr>
    </w:p>
    <w:p w14:paraId="494FCCDB" w14:textId="1572C334" w:rsidR="007A285A" w:rsidRDefault="007A285A" w:rsidP="00153122">
      <w:pPr>
        <w:tabs>
          <w:tab w:val="left" w:pos="2250"/>
        </w:tabs>
        <w:spacing w:after="0" w:line="360" w:lineRule="auto"/>
        <w:jc w:val="center"/>
        <w:rPr>
          <w:b/>
          <w:bCs/>
        </w:rPr>
      </w:pPr>
    </w:p>
    <w:p w14:paraId="6EB76CF7" w14:textId="77777777" w:rsidR="007A285A" w:rsidRDefault="007A285A" w:rsidP="00153122">
      <w:pPr>
        <w:tabs>
          <w:tab w:val="left" w:pos="2250"/>
        </w:tabs>
        <w:spacing w:after="0" w:line="360" w:lineRule="auto"/>
        <w:jc w:val="center"/>
        <w:rPr>
          <w:b/>
          <w:bCs/>
        </w:rPr>
      </w:pPr>
    </w:p>
    <w:p w14:paraId="15A19913" w14:textId="77777777" w:rsidR="002A015D" w:rsidRDefault="00950420" w:rsidP="00E7465A">
      <w:pPr>
        <w:tabs>
          <w:tab w:val="left" w:pos="2250"/>
        </w:tabs>
        <w:spacing w:after="0" w:line="240" w:lineRule="auto"/>
        <w:jc w:val="center"/>
        <w:rPr>
          <w:b/>
          <w:bCs/>
        </w:rPr>
      </w:pPr>
      <w:r>
        <w:rPr>
          <w:b/>
          <w:bCs/>
        </w:rPr>
        <w:lastRenderedPageBreak/>
        <w:t>Tabla No. 13</w:t>
      </w:r>
      <w:r w:rsidR="00E7465A" w:rsidRPr="00E7465A">
        <w:rPr>
          <w:b/>
          <w:bCs/>
        </w:rPr>
        <w:t xml:space="preserve"> </w:t>
      </w:r>
    </w:p>
    <w:p w14:paraId="5CC9C8F4" w14:textId="2DA7B398" w:rsidR="00E7465A" w:rsidRDefault="00E7465A" w:rsidP="00E7465A">
      <w:pPr>
        <w:tabs>
          <w:tab w:val="left" w:pos="2250"/>
        </w:tabs>
        <w:spacing w:after="0" w:line="240" w:lineRule="auto"/>
        <w:jc w:val="center"/>
        <w:rPr>
          <w:b/>
          <w:bCs/>
        </w:rPr>
      </w:pPr>
      <w:r w:rsidRPr="00E7465A">
        <w:rPr>
          <w:b/>
          <w:bCs/>
        </w:rPr>
        <w:t>Programas presupuestarios</w:t>
      </w:r>
      <w:r>
        <w:rPr>
          <w:b/>
          <w:bCs/>
        </w:rPr>
        <w:t xml:space="preserve"> a nivel municipal, </w:t>
      </w:r>
      <w:r w:rsidRPr="00E7465A">
        <w:rPr>
          <w:b/>
          <w:bCs/>
        </w:rPr>
        <w:t>etiquetados al eje 5. Violencia contra las Mujeres del Clasificador Presupuestario con Enfoque de Género.</w:t>
      </w:r>
    </w:p>
    <w:p w14:paraId="605462C8" w14:textId="1BBD1C1F" w:rsidR="00E7465A" w:rsidRDefault="00E7465A" w:rsidP="00153122">
      <w:pPr>
        <w:tabs>
          <w:tab w:val="left" w:pos="2250"/>
        </w:tabs>
        <w:spacing w:after="0" w:line="360" w:lineRule="auto"/>
        <w:jc w:val="center"/>
        <w:rPr>
          <w:b/>
          <w:bCs/>
        </w:rPr>
      </w:pPr>
      <w:r w:rsidRPr="00E7465A">
        <w:rPr>
          <w:noProof/>
          <w:lang w:eastAsia="es-GT"/>
        </w:rPr>
        <w:drawing>
          <wp:inline distT="0" distB="0" distL="0" distR="0" wp14:anchorId="43E5042A" wp14:editId="28654653">
            <wp:extent cx="5781675" cy="20193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1675" cy="2019300"/>
                    </a:xfrm>
                    <a:prstGeom prst="rect">
                      <a:avLst/>
                    </a:prstGeom>
                    <a:noFill/>
                    <a:ln>
                      <a:noFill/>
                    </a:ln>
                  </pic:spPr>
                </pic:pic>
              </a:graphicData>
            </a:graphic>
          </wp:inline>
        </w:drawing>
      </w:r>
    </w:p>
    <w:p w14:paraId="2026F3AE" w14:textId="77777777" w:rsidR="009E57EC" w:rsidRPr="00387A2F" w:rsidRDefault="009E57EC" w:rsidP="009E57EC">
      <w:pPr>
        <w:spacing w:after="0" w:line="240" w:lineRule="auto"/>
        <w:rPr>
          <w:rFonts w:ascii="Calibri" w:eastAsia="Times New Roman" w:hAnsi="Calibri" w:cs="Times New Roman"/>
          <w:b/>
          <w:bCs/>
          <w:color w:val="000000"/>
          <w:sz w:val="18"/>
          <w:szCs w:val="18"/>
          <w:lang w:eastAsia="es-GT"/>
        </w:rPr>
      </w:pPr>
      <w:r w:rsidRPr="00387A2F">
        <w:rPr>
          <w:color w:val="231F20"/>
          <w:sz w:val="18"/>
          <w:szCs w:val="18"/>
        </w:rPr>
        <w:t xml:space="preserve">Fuente: Sistema de Contabilidad Integrada (SICOIN), </w:t>
      </w:r>
      <w:r>
        <w:rPr>
          <w:color w:val="231F20"/>
          <w:sz w:val="18"/>
          <w:szCs w:val="18"/>
        </w:rPr>
        <w:t>del 1 de enero al 30 de junio</w:t>
      </w:r>
      <w:r w:rsidRPr="00387A2F">
        <w:rPr>
          <w:color w:val="231F20"/>
          <w:sz w:val="18"/>
          <w:szCs w:val="18"/>
        </w:rPr>
        <w:t xml:space="preserve"> del 2021</w:t>
      </w:r>
    </w:p>
    <w:p w14:paraId="40EC86D6" w14:textId="77777777" w:rsidR="009E57EC" w:rsidRDefault="009E57EC" w:rsidP="00153122">
      <w:pPr>
        <w:tabs>
          <w:tab w:val="left" w:pos="2250"/>
        </w:tabs>
        <w:spacing w:after="0" w:line="360" w:lineRule="auto"/>
        <w:jc w:val="center"/>
        <w:rPr>
          <w:b/>
          <w:bCs/>
        </w:rPr>
      </w:pPr>
    </w:p>
    <w:p w14:paraId="0977D8DC" w14:textId="7FD4B8FC" w:rsidR="00E7465A" w:rsidRDefault="00634AA5" w:rsidP="00364B85">
      <w:pPr>
        <w:tabs>
          <w:tab w:val="left" w:pos="2250"/>
        </w:tabs>
        <w:spacing w:after="0" w:line="360" w:lineRule="auto"/>
        <w:jc w:val="both"/>
        <w:rPr>
          <w:bCs/>
        </w:rPr>
      </w:pPr>
      <w:r w:rsidRPr="00364B85">
        <w:rPr>
          <w:bCs/>
        </w:rPr>
        <w:t xml:space="preserve">Desde el uso adecuado de la herramienta del clasificador presupuestario con enfoque de género, se ha logrado acompañar a los gobiernos locales para que se identifiquen de manera adecuada los programas que dan respuesta a la reducción y erradicación de la violencia contra las mujeres sin embargo, solamente 33 municipios realizaron etiquetación a tan importante eje, considerando con ello que no todas las </w:t>
      </w:r>
      <w:r w:rsidR="00364B85" w:rsidRPr="00364B85">
        <w:rPr>
          <w:bCs/>
        </w:rPr>
        <w:t>intervenciones</w:t>
      </w:r>
      <w:r w:rsidRPr="00364B85">
        <w:rPr>
          <w:bCs/>
        </w:rPr>
        <w:t xml:space="preserve"> están dando respuesta de manera estratégica al tema de la erradicación de la violencia contra las mujeres, lo que conlleva un reto institucional identificar con enfoque de género los programas  o productos municipales que atiendan el tema.</w:t>
      </w:r>
    </w:p>
    <w:p w14:paraId="1EC987F8" w14:textId="77777777" w:rsidR="00364B85" w:rsidRPr="00364B85" w:rsidRDefault="00364B85" w:rsidP="00364B85">
      <w:pPr>
        <w:tabs>
          <w:tab w:val="left" w:pos="2250"/>
        </w:tabs>
        <w:spacing w:after="0" w:line="360" w:lineRule="auto"/>
        <w:jc w:val="both"/>
        <w:rPr>
          <w:bCs/>
        </w:rPr>
      </w:pPr>
    </w:p>
    <w:p w14:paraId="2387249B" w14:textId="152FF347" w:rsidR="00AD52FD" w:rsidRDefault="00A111C3" w:rsidP="00364B85">
      <w:pPr>
        <w:tabs>
          <w:tab w:val="left" w:pos="2250"/>
        </w:tabs>
        <w:spacing w:after="0" w:line="360" w:lineRule="auto"/>
        <w:jc w:val="both"/>
        <w:rPr>
          <w:b/>
          <w:bCs/>
        </w:rPr>
      </w:pPr>
      <w:r>
        <w:rPr>
          <w:bCs/>
        </w:rPr>
        <w:t>S</w:t>
      </w:r>
      <w:r w:rsidR="00634AA5" w:rsidRPr="00364B85">
        <w:rPr>
          <w:bCs/>
        </w:rPr>
        <w:t xml:space="preserve">e resalta </w:t>
      </w:r>
      <w:proofErr w:type="gramStart"/>
      <w:r w:rsidR="00634AA5" w:rsidRPr="00364B85">
        <w:rPr>
          <w:bCs/>
        </w:rPr>
        <w:t>que</w:t>
      </w:r>
      <w:proofErr w:type="gramEnd"/>
      <w:r w:rsidR="00634AA5" w:rsidRPr="00364B85">
        <w:rPr>
          <w:bCs/>
        </w:rPr>
        <w:t xml:space="preserve"> a través del acompañamiento brindado a los gobiernos locales</w:t>
      </w:r>
      <w:r>
        <w:rPr>
          <w:bCs/>
        </w:rPr>
        <w:t>,</w:t>
      </w:r>
      <w:r w:rsidR="00634AA5" w:rsidRPr="00364B85">
        <w:rPr>
          <w:bCs/>
        </w:rPr>
        <w:t xml:space="preserve"> el programa 17. Seguridad Integral, se contó con una etiquetación coherente y</w:t>
      </w:r>
      <w:r w:rsidR="00364B85">
        <w:rPr>
          <w:bCs/>
        </w:rPr>
        <w:t xml:space="preserve"> adecuada, sigue siendo un desafío el acompañamiento a los equipos técnicos municipales para orientar la etiquetación adecuada.</w:t>
      </w:r>
    </w:p>
    <w:p w14:paraId="4B18E884" w14:textId="77777777" w:rsidR="002A015D" w:rsidRDefault="00AD52FD" w:rsidP="00AD52FD">
      <w:pPr>
        <w:tabs>
          <w:tab w:val="left" w:pos="2250"/>
        </w:tabs>
        <w:spacing w:after="0" w:line="240" w:lineRule="auto"/>
        <w:jc w:val="center"/>
        <w:rPr>
          <w:b/>
          <w:bCs/>
        </w:rPr>
      </w:pPr>
      <w:r w:rsidRPr="00AD52FD">
        <w:rPr>
          <w:b/>
          <w:bCs/>
        </w:rPr>
        <w:t xml:space="preserve">Tabla No. </w:t>
      </w:r>
      <w:r w:rsidR="00950420">
        <w:rPr>
          <w:b/>
          <w:bCs/>
        </w:rPr>
        <w:t>14</w:t>
      </w:r>
      <w:r w:rsidRPr="00AD52FD">
        <w:rPr>
          <w:b/>
          <w:bCs/>
        </w:rPr>
        <w:t xml:space="preserve"> </w:t>
      </w:r>
    </w:p>
    <w:p w14:paraId="264BEE52" w14:textId="3C7762DF" w:rsidR="00AD52FD" w:rsidRDefault="00AD52FD" w:rsidP="00AD52FD">
      <w:pPr>
        <w:tabs>
          <w:tab w:val="left" w:pos="2250"/>
        </w:tabs>
        <w:spacing w:after="0" w:line="240" w:lineRule="auto"/>
        <w:jc w:val="center"/>
        <w:rPr>
          <w:b/>
          <w:bCs/>
        </w:rPr>
      </w:pPr>
      <w:r w:rsidRPr="00AD52FD">
        <w:rPr>
          <w:b/>
          <w:bCs/>
        </w:rPr>
        <w:t xml:space="preserve">Programas presupuestarios a nivel municipal, etiquetados al eje </w:t>
      </w:r>
      <w:r>
        <w:rPr>
          <w:b/>
          <w:bCs/>
        </w:rPr>
        <w:t>6</w:t>
      </w:r>
      <w:r w:rsidRPr="00AD52FD">
        <w:rPr>
          <w:b/>
          <w:bCs/>
        </w:rPr>
        <w:t xml:space="preserve">. </w:t>
      </w:r>
      <w:r>
        <w:rPr>
          <w:b/>
          <w:bCs/>
        </w:rPr>
        <w:t xml:space="preserve">Equidad </w:t>
      </w:r>
      <w:r w:rsidR="001F212C">
        <w:rPr>
          <w:b/>
          <w:bCs/>
        </w:rPr>
        <w:t>Jurídica</w:t>
      </w:r>
      <w:r w:rsidRPr="00AD52FD">
        <w:rPr>
          <w:b/>
          <w:bCs/>
        </w:rPr>
        <w:t xml:space="preserve"> del Clasificador Presupuestario con Enfoque de Género.</w:t>
      </w:r>
    </w:p>
    <w:p w14:paraId="5657B2B0" w14:textId="2858833B" w:rsidR="00E7465A" w:rsidRDefault="00AD52FD" w:rsidP="00153122">
      <w:pPr>
        <w:tabs>
          <w:tab w:val="left" w:pos="2250"/>
        </w:tabs>
        <w:spacing w:after="0" w:line="360" w:lineRule="auto"/>
        <w:jc w:val="center"/>
        <w:rPr>
          <w:b/>
          <w:bCs/>
        </w:rPr>
      </w:pPr>
      <w:r w:rsidRPr="00AD52FD">
        <w:rPr>
          <w:noProof/>
          <w:lang w:eastAsia="es-GT"/>
        </w:rPr>
        <w:drawing>
          <wp:inline distT="0" distB="0" distL="0" distR="0" wp14:anchorId="7DBA276C" wp14:editId="6E1E0F14">
            <wp:extent cx="5612130" cy="1397000"/>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1397000"/>
                    </a:xfrm>
                    <a:prstGeom prst="rect">
                      <a:avLst/>
                    </a:prstGeom>
                    <a:noFill/>
                    <a:ln>
                      <a:noFill/>
                    </a:ln>
                  </pic:spPr>
                </pic:pic>
              </a:graphicData>
            </a:graphic>
          </wp:inline>
        </w:drawing>
      </w:r>
    </w:p>
    <w:p w14:paraId="65A41E3F" w14:textId="77777777" w:rsidR="009E57EC" w:rsidRPr="00387A2F" w:rsidRDefault="009E57EC" w:rsidP="009E57EC">
      <w:pPr>
        <w:spacing w:after="0" w:line="240" w:lineRule="auto"/>
        <w:rPr>
          <w:rFonts w:ascii="Calibri" w:eastAsia="Times New Roman" w:hAnsi="Calibri" w:cs="Times New Roman"/>
          <w:b/>
          <w:bCs/>
          <w:color w:val="000000"/>
          <w:sz w:val="18"/>
          <w:szCs w:val="18"/>
          <w:lang w:eastAsia="es-GT"/>
        </w:rPr>
      </w:pPr>
      <w:r w:rsidRPr="00387A2F">
        <w:rPr>
          <w:color w:val="231F20"/>
          <w:sz w:val="18"/>
          <w:szCs w:val="18"/>
        </w:rPr>
        <w:t xml:space="preserve">Fuente: Sistema de Contabilidad Integrada (SICOIN), </w:t>
      </w:r>
      <w:r>
        <w:rPr>
          <w:color w:val="231F20"/>
          <w:sz w:val="18"/>
          <w:szCs w:val="18"/>
        </w:rPr>
        <w:t>del 1 de enero al 30 de junio</w:t>
      </w:r>
      <w:r w:rsidRPr="00387A2F">
        <w:rPr>
          <w:color w:val="231F20"/>
          <w:sz w:val="18"/>
          <w:szCs w:val="18"/>
        </w:rPr>
        <w:t xml:space="preserve"> del 2021</w:t>
      </w:r>
    </w:p>
    <w:p w14:paraId="66AF2AD3" w14:textId="3701D115" w:rsidR="009E57EC" w:rsidRDefault="009E57EC" w:rsidP="00153122">
      <w:pPr>
        <w:tabs>
          <w:tab w:val="left" w:pos="2250"/>
        </w:tabs>
        <w:spacing w:after="0" w:line="360" w:lineRule="auto"/>
        <w:jc w:val="center"/>
        <w:rPr>
          <w:b/>
          <w:bCs/>
        </w:rPr>
      </w:pPr>
    </w:p>
    <w:p w14:paraId="47FC3283" w14:textId="431726D9" w:rsidR="00AD52FD" w:rsidRDefault="00364B85" w:rsidP="00364B85">
      <w:pPr>
        <w:tabs>
          <w:tab w:val="left" w:pos="2250"/>
        </w:tabs>
        <w:spacing w:after="0" w:line="360" w:lineRule="auto"/>
        <w:jc w:val="both"/>
        <w:rPr>
          <w:bCs/>
        </w:rPr>
      </w:pPr>
      <w:r w:rsidRPr="00364B85">
        <w:rPr>
          <w:bCs/>
        </w:rPr>
        <w:lastRenderedPageBreak/>
        <w:t>Equidad jurídica es uno de los ejes del clasificador que no tiene mayor identificación de programas presupuestarios etiquetados, existe confusión en relación a los programas que se deben identificar estratégicamente para su etiquetación al tema jurídico, lo cual ha permitido a Seprem realizar un acompañamiento a las directoras municipales de la mujer e identificar si dentro de sus intervenciones presupuestarias brindan asesoría legal a mujeres, niñas y adolescentes en temas relacionados con violencia, así mismo la orientación en la tenencia y uso de la tierra, sin embargo, los gobiernos locales no proporcionan este tipo de servicios municipales de m</w:t>
      </w:r>
      <w:r>
        <w:rPr>
          <w:bCs/>
        </w:rPr>
        <w:t>anera integral para las mujeres, por lo que lo identificado en la tabla responde a la construcción de polideportivos, personas orientadas en la inserción del mercado laboral, servicios de educación vial, servicios de emergencia y actividades centrales.</w:t>
      </w:r>
    </w:p>
    <w:p w14:paraId="6A3A1FB5" w14:textId="77777777" w:rsidR="00751DBE" w:rsidRDefault="00751DBE" w:rsidP="00364B85">
      <w:pPr>
        <w:tabs>
          <w:tab w:val="left" w:pos="2250"/>
        </w:tabs>
        <w:spacing w:after="0" w:line="360" w:lineRule="auto"/>
        <w:jc w:val="both"/>
        <w:rPr>
          <w:bCs/>
        </w:rPr>
      </w:pPr>
    </w:p>
    <w:p w14:paraId="0E6FF705" w14:textId="6EC656AD" w:rsidR="00364B85" w:rsidRDefault="00364B85" w:rsidP="00364B85">
      <w:pPr>
        <w:tabs>
          <w:tab w:val="left" w:pos="2250"/>
        </w:tabs>
        <w:spacing w:after="0" w:line="360" w:lineRule="auto"/>
        <w:jc w:val="both"/>
        <w:rPr>
          <w:bCs/>
        </w:rPr>
      </w:pPr>
      <w:r>
        <w:rPr>
          <w:bCs/>
        </w:rPr>
        <w:t>Considerando muy importante desde la asistencia técnica y acompañamiento a los gobiernos locales lograr la creación de acciones que atiendan de manera adecuada el eje de equidad jurídica y brindar los servicios necesarios para las mujeres.</w:t>
      </w:r>
    </w:p>
    <w:p w14:paraId="49F81851" w14:textId="77777777" w:rsidR="00950420" w:rsidRDefault="00950420" w:rsidP="00364B85">
      <w:pPr>
        <w:tabs>
          <w:tab w:val="left" w:pos="2250"/>
        </w:tabs>
        <w:spacing w:after="0" w:line="360" w:lineRule="auto"/>
        <w:jc w:val="both"/>
        <w:rPr>
          <w:bCs/>
        </w:rPr>
      </w:pPr>
    </w:p>
    <w:p w14:paraId="15BFBD18" w14:textId="77777777" w:rsidR="002A015D" w:rsidRDefault="00AD52FD" w:rsidP="00AD52FD">
      <w:pPr>
        <w:tabs>
          <w:tab w:val="left" w:pos="2250"/>
        </w:tabs>
        <w:spacing w:after="0" w:line="240" w:lineRule="auto"/>
        <w:jc w:val="center"/>
        <w:rPr>
          <w:b/>
          <w:bCs/>
        </w:rPr>
      </w:pPr>
      <w:r w:rsidRPr="00AD52FD">
        <w:rPr>
          <w:b/>
          <w:bCs/>
        </w:rPr>
        <w:t xml:space="preserve">Tabla No. </w:t>
      </w:r>
      <w:r w:rsidR="00950420">
        <w:rPr>
          <w:b/>
          <w:bCs/>
        </w:rPr>
        <w:t>15</w:t>
      </w:r>
      <w:r w:rsidRPr="00AD52FD">
        <w:rPr>
          <w:b/>
          <w:bCs/>
        </w:rPr>
        <w:t xml:space="preserve"> </w:t>
      </w:r>
    </w:p>
    <w:p w14:paraId="4005E183" w14:textId="755D4227" w:rsidR="00AD52FD" w:rsidRDefault="00AD52FD" w:rsidP="00AD52FD">
      <w:pPr>
        <w:tabs>
          <w:tab w:val="left" w:pos="2250"/>
        </w:tabs>
        <w:spacing w:after="0" w:line="240" w:lineRule="auto"/>
        <w:jc w:val="center"/>
        <w:rPr>
          <w:b/>
          <w:bCs/>
        </w:rPr>
      </w:pPr>
      <w:r w:rsidRPr="00AD52FD">
        <w:rPr>
          <w:b/>
          <w:bCs/>
        </w:rPr>
        <w:t>Programas presupuestarios etiquetados</w:t>
      </w:r>
      <w:r>
        <w:rPr>
          <w:b/>
          <w:bCs/>
        </w:rPr>
        <w:t xml:space="preserve"> a nivel municipal</w:t>
      </w:r>
      <w:r w:rsidRPr="00AD52FD">
        <w:rPr>
          <w:b/>
          <w:bCs/>
        </w:rPr>
        <w:t xml:space="preserve"> al eje </w:t>
      </w:r>
      <w:r>
        <w:rPr>
          <w:b/>
          <w:bCs/>
        </w:rPr>
        <w:t>7</w:t>
      </w:r>
      <w:r w:rsidRPr="00AD52FD">
        <w:rPr>
          <w:b/>
          <w:bCs/>
        </w:rPr>
        <w:t>. Racismo y Discriminación contra las Mujeres del Clasificador Presupuestario con Enfoque de Género.</w:t>
      </w:r>
    </w:p>
    <w:p w14:paraId="59E95BFB" w14:textId="0F442BF6" w:rsidR="00E7465A" w:rsidRDefault="00AD52FD" w:rsidP="00153122">
      <w:pPr>
        <w:tabs>
          <w:tab w:val="left" w:pos="2250"/>
        </w:tabs>
        <w:spacing w:after="0" w:line="360" w:lineRule="auto"/>
        <w:jc w:val="center"/>
        <w:rPr>
          <w:b/>
          <w:bCs/>
        </w:rPr>
      </w:pPr>
      <w:r w:rsidRPr="00AD52FD">
        <w:rPr>
          <w:noProof/>
          <w:lang w:eastAsia="es-GT"/>
        </w:rPr>
        <w:drawing>
          <wp:inline distT="0" distB="0" distL="0" distR="0" wp14:anchorId="30D8352D" wp14:editId="37642BD6">
            <wp:extent cx="5612130" cy="1916430"/>
            <wp:effectExtent l="0" t="0" r="762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1916430"/>
                    </a:xfrm>
                    <a:prstGeom prst="rect">
                      <a:avLst/>
                    </a:prstGeom>
                    <a:noFill/>
                    <a:ln>
                      <a:noFill/>
                    </a:ln>
                  </pic:spPr>
                </pic:pic>
              </a:graphicData>
            </a:graphic>
          </wp:inline>
        </w:drawing>
      </w:r>
    </w:p>
    <w:p w14:paraId="3E553B29" w14:textId="77777777" w:rsidR="009E57EC" w:rsidRPr="00387A2F" w:rsidRDefault="009E57EC" w:rsidP="009E57EC">
      <w:pPr>
        <w:spacing w:after="0" w:line="240" w:lineRule="auto"/>
        <w:rPr>
          <w:rFonts w:ascii="Calibri" w:eastAsia="Times New Roman" w:hAnsi="Calibri" w:cs="Times New Roman"/>
          <w:b/>
          <w:bCs/>
          <w:color w:val="000000"/>
          <w:sz w:val="18"/>
          <w:szCs w:val="18"/>
          <w:lang w:eastAsia="es-GT"/>
        </w:rPr>
      </w:pPr>
      <w:r w:rsidRPr="00387A2F">
        <w:rPr>
          <w:color w:val="231F20"/>
          <w:sz w:val="18"/>
          <w:szCs w:val="18"/>
        </w:rPr>
        <w:t xml:space="preserve">Fuente: Sistema de Contabilidad Integrada (SICOIN), </w:t>
      </w:r>
      <w:r>
        <w:rPr>
          <w:color w:val="231F20"/>
          <w:sz w:val="18"/>
          <w:szCs w:val="18"/>
        </w:rPr>
        <w:t>del 1 de enero al 30 de junio</w:t>
      </w:r>
      <w:r w:rsidRPr="00387A2F">
        <w:rPr>
          <w:color w:val="231F20"/>
          <w:sz w:val="18"/>
          <w:szCs w:val="18"/>
        </w:rPr>
        <w:t xml:space="preserve"> del 2021</w:t>
      </w:r>
    </w:p>
    <w:p w14:paraId="45572A00" w14:textId="77777777" w:rsidR="009E57EC" w:rsidRDefault="009E57EC" w:rsidP="00153122">
      <w:pPr>
        <w:tabs>
          <w:tab w:val="left" w:pos="2250"/>
        </w:tabs>
        <w:spacing w:after="0" w:line="360" w:lineRule="auto"/>
        <w:jc w:val="center"/>
        <w:rPr>
          <w:b/>
          <w:bCs/>
        </w:rPr>
      </w:pPr>
    </w:p>
    <w:p w14:paraId="0349ACA4" w14:textId="71F70121" w:rsidR="00364B85" w:rsidRPr="00364B85" w:rsidRDefault="00364B85" w:rsidP="00364B85">
      <w:pPr>
        <w:tabs>
          <w:tab w:val="left" w:pos="2250"/>
        </w:tabs>
        <w:spacing w:after="0" w:line="360" w:lineRule="auto"/>
        <w:jc w:val="both"/>
        <w:rPr>
          <w:bCs/>
        </w:rPr>
      </w:pPr>
      <w:r w:rsidRPr="00364B85">
        <w:rPr>
          <w:bCs/>
        </w:rPr>
        <w:t xml:space="preserve">Dentro de la identificación </w:t>
      </w:r>
      <w:r>
        <w:rPr>
          <w:bCs/>
        </w:rPr>
        <w:t xml:space="preserve">de acciones al eje de Racismo y Discriminación </w:t>
      </w:r>
      <w:r w:rsidR="002212EE">
        <w:rPr>
          <w:bCs/>
        </w:rPr>
        <w:t xml:space="preserve">resalta la etiquetación al programa 01. Actividades Centrales, etiquetación que no permite identificar la producción municipal final, ya que no cuenta con objetivo estratégico, el programa 11. Prevención de la Desnutrición refleja intervenciones orientadas adultos mayores en condición de pobreza y pobreza extrema, mujeres en el área rural con buenas prácticas para el hogar, lo cual realizado el análisis no </w:t>
      </w:r>
      <w:r w:rsidR="002212EE">
        <w:rPr>
          <w:bCs/>
        </w:rPr>
        <w:lastRenderedPageBreak/>
        <w:t>dan respuesta directa al eje de Racismo y Discriminación, por lo cual se trabajó con los gobiernos locales para mejorar su etiquetación a los ejes que correspondan.</w:t>
      </w:r>
    </w:p>
    <w:p w14:paraId="5C446707" w14:textId="77777777" w:rsidR="00364B85" w:rsidRDefault="00364B85" w:rsidP="00153122">
      <w:pPr>
        <w:tabs>
          <w:tab w:val="left" w:pos="2250"/>
        </w:tabs>
        <w:spacing w:after="0" w:line="360" w:lineRule="auto"/>
        <w:jc w:val="center"/>
        <w:rPr>
          <w:b/>
          <w:bCs/>
        </w:rPr>
      </w:pPr>
    </w:p>
    <w:p w14:paraId="2C66C774" w14:textId="77777777" w:rsidR="002A015D" w:rsidRDefault="00C206FA" w:rsidP="00C206FA">
      <w:pPr>
        <w:tabs>
          <w:tab w:val="left" w:pos="2250"/>
        </w:tabs>
        <w:spacing w:after="0" w:line="240" w:lineRule="auto"/>
        <w:contextualSpacing/>
        <w:jc w:val="center"/>
        <w:rPr>
          <w:b/>
          <w:bCs/>
        </w:rPr>
      </w:pPr>
      <w:r w:rsidRPr="00AD52FD">
        <w:rPr>
          <w:b/>
          <w:bCs/>
        </w:rPr>
        <w:t xml:space="preserve">Tabla No. </w:t>
      </w:r>
      <w:r w:rsidR="00950420">
        <w:rPr>
          <w:b/>
          <w:bCs/>
        </w:rPr>
        <w:t>16</w:t>
      </w:r>
      <w:r w:rsidRPr="00AD52FD">
        <w:rPr>
          <w:b/>
          <w:bCs/>
        </w:rPr>
        <w:t xml:space="preserve"> </w:t>
      </w:r>
    </w:p>
    <w:p w14:paraId="3350DF95" w14:textId="77344C79" w:rsidR="00E7465A" w:rsidRDefault="00C206FA" w:rsidP="00C206FA">
      <w:pPr>
        <w:tabs>
          <w:tab w:val="left" w:pos="2250"/>
        </w:tabs>
        <w:spacing w:after="0" w:line="240" w:lineRule="auto"/>
        <w:contextualSpacing/>
        <w:jc w:val="center"/>
        <w:rPr>
          <w:b/>
          <w:bCs/>
        </w:rPr>
      </w:pPr>
      <w:r w:rsidRPr="00AD52FD">
        <w:rPr>
          <w:b/>
          <w:bCs/>
        </w:rPr>
        <w:t>Programas presupuestarios etiquetados</w:t>
      </w:r>
      <w:r>
        <w:rPr>
          <w:b/>
          <w:bCs/>
        </w:rPr>
        <w:t xml:space="preserve"> a nivel municipal</w:t>
      </w:r>
      <w:r w:rsidRPr="00AD52FD">
        <w:rPr>
          <w:b/>
          <w:bCs/>
        </w:rPr>
        <w:t xml:space="preserve"> al eje </w:t>
      </w:r>
      <w:r>
        <w:rPr>
          <w:b/>
          <w:bCs/>
        </w:rPr>
        <w:t>8</w:t>
      </w:r>
      <w:r w:rsidRPr="00AD52FD">
        <w:rPr>
          <w:b/>
          <w:bCs/>
        </w:rPr>
        <w:t xml:space="preserve">. </w:t>
      </w:r>
      <w:r>
        <w:rPr>
          <w:b/>
          <w:bCs/>
        </w:rPr>
        <w:t>Equidad en el Desarrollo Cultural</w:t>
      </w:r>
      <w:r w:rsidRPr="00AD52FD">
        <w:rPr>
          <w:b/>
          <w:bCs/>
        </w:rPr>
        <w:t xml:space="preserve"> del Clasificador Presupuestario con Enfoque de Género</w:t>
      </w:r>
    </w:p>
    <w:p w14:paraId="3AFE1B8D" w14:textId="2F9DF25D" w:rsidR="00C206FA" w:rsidRDefault="00C206FA" w:rsidP="00C206FA">
      <w:pPr>
        <w:tabs>
          <w:tab w:val="left" w:pos="2250"/>
        </w:tabs>
        <w:spacing w:after="0" w:line="240" w:lineRule="auto"/>
        <w:contextualSpacing/>
        <w:jc w:val="center"/>
        <w:rPr>
          <w:b/>
          <w:bCs/>
        </w:rPr>
      </w:pPr>
      <w:r w:rsidRPr="00C206FA">
        <w:rPr>
          <w:noProof/>
          <w:lang w:eastAsia="es-GT"/>
        </w:rPr>
        <w:drawing>
          <wp:inline distT="0" distB="0" distL="0" distR="0" wp14:anchorId="05F157E3" wp14:editId="0C37097D">
            <wp:extent cx="5612130" cy="1750793"/>
            <wp:effectExtent l="0" t="0" r="7620"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1750793"/>
                    </a:xfrm>
                    <a:prstGeom prst="rect">
                      <a:avLst/>
                    </a:prstGeom>
                    <a:noFill/>
                    <a:ln>
                      <a:noFill/>
                    </a:ln>
                  </pic:spPr>
                </pic:pic>
              </a:graphicData>
            </a:graphic>
          </wp:inline>
        </w:drawing>
      </w:r>
    </w:p>
    <w:p w14:paraId="0942E5A1" w14:textId="77777777" w:rsidR="009E57EC" w:rsidRPr="00387A2F" w:rsidRDefault="009E57EC" w:rsidP="009E57EC">
      <w:pPr>
        <w:spacing w:after="0" w:line="240" w:lineRule="auto"/>
        <w:rPr>
          <w:rFonts w:ascii="Calibri" w:eastAsia="Times New Roman" w:hAnsi="Calibri" w:cs="Times New Roman"/>
          <w:b/>
          <w:bCs/>
          <w:color w:val="000000"/>
          <w:sz w:val="18"/>
          <w:szCs w:val="18"/>
          <w:lang w:eastAsia="es-GT"/>
        </w:rPr>
      </w:pPr>
      <w:r w:rsidRPr="00387A2F">
        <w:rPr>
          <w:color w:val="231F20"/>
          <w:sz w:val="18"/>
          <w:szCs w:val="18"/>
        </w:rPr>
        <w:t xml:space="preserve">Fuente: Sistema de Contabilidad Integrada (SICOIN), </w:t>
      </w:r>
      <w:r>
        <w:rPr>
          <w:color w:val="231F20"/>
          <w:sz w:val="18"/>
          <w:szCs w:val="18"/>
        </w:rPr>
        <w:t>del 1 de enero al 30 de junio</w:t>
      </w:r>
      <w:r w:rsidRPr="00387A2F">
        <w:rPr>
          <w:color w:val="231F20"/>
          <w:sz w:val="18"/>
          <w:szCs w:val="18"/>
        </w:rPr>
        <w:t xml:space="preserve"> del 2021</w:t>
      </w:r>
    </w:p>
    <w:p w14:paraId="5967B0C7" w14:textId="77777777" w:rsidR="009E57EC" w:rsidRDefault="009E57EC" w:rsidP="00C206FA">
      <w:pPr>
        <w:tabs>
          <w:tab w:val="left" w:pos="2250"/>
        </w:tabs>
        <w:spacing w:after="0" w:line="240" w:lineRule="auto"/>
        <w:contextualSpacing/>
        <w:jc w:val="center"/>
        <w:rPr>
          <w:b/>
          <w:bCs/>
        </w:rPr>
      </w:pPr>
    </w:p>
    <w:p w14:paraId="797E2D04" w14:textId="79C6B416" w:rsidR="002212EE" w:rsidRDefault="002212EE" w:rsidP="00191DE3">
      <w:pPr>
        <w:tabs>
          <w:tab w:val="left" w:pos="2250"/>
        </w:tabs>
        <w:spacing w:after="0" w:line="360" w:lineRule="auto"/>
        <w:jc w:val="both"/>
        <w:rPr>
          <w:bCs/>
        </w:rPr>
      </w:pPr>
      <w:r w:rsidRPr="00191DE3">
        <w:rPr>
          <w:bCs/>
        </w:rPr>
        <w:t xml:space="preserve">El Eje de Equidad en el Desarrollo Cultural, </w:t>
      </w:r>
      <w:r w:rsidR="0030294B">
        <w:rPr>
          <w:bCs/>
        </w:rPr>
        <w:t xml:space="preserve">identificó </w:t>
      </w:r>
      <w:r w:rsidRPr="00191DE3">
        <w:rPr>
          <w:bCs/>
        </w:rPr>
        <w:t xml:space="preserve">que la mayor cantidad de presupuesto fue </w:t>
      </w:r>
      <w:r w:rsidR="0030294B">
        <w:rPr>
          <w:bCs/>
        </w:rPr>
        <w:t>vinculada</w:t>
      </w:r>
      <w:r w:rsidRPr="00191DE3">
        <w:rPr>
          <w:bCs/>
        </w:rPr>
        <w:t xml:space="preserve"> al programa 01</w:t>
      </w:r>
      <w:r w:rsidR="0004189B">
        <w:rPr>
          <w:bCs/>
        </w:rPr>
        <w:t>,</w:t>
      </w:r>
      <w:r w:rsidRPr="00191DE3">
        <w:rPr>
          <w:bCs/>
        </w:rPr>
        <w:t xml:space="preserve"> Actividades Centrales</w:t>
      </w:r>
      <w:r w:rsidR="0030294B">
        <w:rPr>
          <w:bCs/>
        </w:rPr>
        <w:t>. C</w:t>
      </w:r>
      <w:r w:rsidRPr="00191DE3">
        <w:rPr>
          <w:bCs/>
        </w:rPr>
        <w:t xml:space="preserve">onsiderando que las actividades centrales son una responsabilidad de los </w:t>
      </w:r>
      <w:r w:rsidR="00191DE3" w:rsidRPr="00191DE3">
        <w:rPr>
          <w:bCs/>
        </w:rPr>
        <w:t>gobiernos</w:t>
      </w:r>
      <w:r w:rsidRPr="00191DE3">
        <w:rPr>
          <w:bCs/>
        </w:rPr>
        <w:t xml:space="preserve"> municipales </w:t>
      </w:r>
      <w:r w:rsidR="00DD5E9E">
        <w:rPr>
          <w:bCs/>
        </w:rPr>
        <w:t>para</w:t>
      </w:r>
      <w:r w:rsidR="0030294B">
        <w:rPr>
          <w:bCs/>
        </w:rPr>
        <w:t xml:space="preserve"> </w:t>
      </w:r>
      <w:r w:rsidRPr="00191DE3">
        <w:rPr>
          <w:bCs/>
        </w:rPr>
        <w:t xml:space="preserve">garantizar </w:t>
      </w:r>
      <w:r w:rsidR="0004189B">
        <w:rPr>
          <w:bCs/>
        </w:rPr>
        <w:t>el</w:t>
      </w:r>
      <w:r w:rsidRPr="00191DE3">
        <w:rPr>
          <w:bCs/>
        </w:rPr>
        <w:t xml:space="preserve"> funcionamiento de la gestión municipal</w:t>
      </w:r>
      <w:r w:rsidR="0030294B">
        <w:rPr>
          <w:bCs/>
        </w:rPr>
        <w:t xml:space="preserve">, </w:t>
      </w:r>
      <w:r w:rsidR="0030294B" w:rsidRPr="00191DE3">
        <w:rPr>
          <w:bCs/>
        </w:rPr>
        <w:t>no se debe vincular ya que</w:t>
      </w:r>
      <w:r w:rsidR="0030294B">
        <w:rPr>
          <w:bCs/>
        </w:rPr>
        <w:t xml:space="preserve"> </w:t>
      </w:r>
      <w:r w:rsidR="0030294B" w:rsidRPr="00191DE3">
        <w:rPr>
          <w:bCs/>
        </w:rPr>
        <w:t xml:space="preserve">no da respuesta a las </w:t>
      </w:r>
      <w:r w:rsidR="0004189B">
        <w:rPr>
          <w:bCs/>
        </w:rPr>
        <w:t xml:space="preserve">necesidades de las </w:t>
      </w:r>
      <w:r w:rsidR="0030294B" w:rsidRPr="00191DE3">
        <w:rPr>
          <w:bCs/>
        </w:rPr>
        <w:t>mujeres</w:t>
      </w:r>
      <w:r w:rsidR="0030294B">
        <w:rPr>
          <w:bCs/>
        </w:rPr>
        <w:t>.</w:t>
      </w:r>
    </w:p>
    <w:p w14:paraId="5D07ADC4" w14:textId="77777777" w:rsidR="00191DE3" w:rsidRPr="00191DE3" w:rsidRDefault="00191DE3" w:rsidP="00191DE3">
      <w:pPr>
        <w:tabs>
          <w:tab w:val="left" w:pos="2250"/>
        </w:tabs>
        <w:spacing w:after="0" w:line="360" w:lineRule="auto"/>
        <w:jc w:val="both"/>
        <w:rPr>
          <w:bCs/>
        </w:rPr>
      </w:pPr>
    </w:p>
    <w:p w14:paraId="2068FD2B" w14:textId="17875665" w:rsidR="002212EE" w:rsidRPr="00191DE3" w:rsidRDefault="002212EE" w:rsidP="00191DE3">
      <w:pPr>
        <w:tabs>
          <w:tab w:val="left" w:pos="2250"/>
        </w:tabs>
        <w:spacing w:after="0" w:line="360" w:lineRule="auto"/>
        <w:jc w:val="both"/>
        <w:rPr>
          <w:bCs/>
        </w:rPr>
      </w:pPr>
      <w:r w:rsidRPr="00191DE3">
        <w:rPr>
          <w:bCs/>
        </w:rPr>
        <w:t xml:space="preserve">Así mismo se </w:t>
      </w:r>
      <w:r w:rsidR="00191DE3" w:rsidRPr="00191DE3">
        <w:rPr>
          <w:bCs/>
        </w:rPr>
        <w:t>logró</w:t>
      </w:r>
      <w:r w:rsidRPr="00191DE3">
        <w:rPr>
          <w:bCs/>
        </w:rPr>
        <w:t xml:space="preserve"> identificar que 17 municipios identificaron estructuras programáticas al programa 17. Seguridad Integral en donde la producción municipal identificada fue micro y medianas empresas beneficiadas con asistencia </w:t>
      </w:r>
      <w:r w:rsidR="00191DE3" w:rsidRPr="00191DE3">
        <w:rPr>
          <w:bCs/>
        </w:rPr>
        <w:t>técnica y</w:t>
      </w:r>
      <w:r w:rsidRPr="00191DE3">
        <w:rPr>
          <w:bCs/>
        </w:rPr>
        <w:t xml:space="preserve"> financiera, mujeres con buenas </w:t>
      </w:r>
      <w:r w:rsidR="00191DE3" w:rsidRPr="00191DE3">
        <w:rPr>
          <w:bCs/>
        </w:rPr>
        <w:t>prácticas</w:t>
      </w:r>
      <w:r w:rsidRPr="00191DE3">
        <w:rPr>
          <w:bCs/>
        </w:rPr>
        <w:t xml:space="preserve"> para el hogar, jóvenes con participación en prevención de la violencia, lo cual no tiene relación con el eje de equidad en el desarrollo, evidenciando que existe una confusión con el desarrollo local </w:t>
      </w:r>
      <w:r w:rsidR="00191DE3" w:rsidRPr="00191DE3">
        <w:rPr>
          <w:bCs/>
        </w:rPr>
        <w:t xml:space="preserve">de manera general y el </w:t>
      </w:r>
      <w:r w:rsidR="00E42D24" w:rsidRPr="00E42D24">
        <w:rPr>
          <w:bCs/>
        </w:rPr>
        <w:t>Eje de Equidad en el Desarrollo Cultural</w:t>
      </w:r>
      <w:r w:rsidR="00191DE3">
        <w:rPr>
          <w:bCs/>
        </w:rPr>
        <w:t>; los gobiernos locales recibieron la orientación adecuada para realizar los cambios en el marcaje sin embargo, es discrecional la forma de etiquetación que realizan los gobiernos locales.</w:t>
      </w:r>
      <w:r w:rsidR="00E42D24">
        <w:rPr>
          <w:bCs/>
        </w:rPr>
        <w:t xml:space="preserve"> </w:t>
      </w:r>
    </w:p>
    <w:p w14:paraId="4C4170B3" w14:textId="7875366F" w:rsidR="00F37F75" w:rsidRDefault="00F37F75">
      <w:pPr>
        <w:rPr>
          <w:b/>
          <w:bCs/>
        </w:rPr>
      </w:pPr>
      <w:r>
        <w:rPr>
          <w:b/>
          <w:bCs/>
        </w:rPr>
        <w:br w:type="page"/>
      </w:r>
    </w:p>
    <w:p w14:paraId="6FA1287B" w14:textId="77777777" w:rsidR="002A015D" w:rsidRDefault="00C206FA" w:rsidP="00C206FA">
      <w:pPr>
        <w:tabs>
          <w:tab w:val="left" w:pos="2250"/>
        </w:tabs>
        <w:spacing w:after="0" w:line="240" w:lineRule="auto"/>
        <w:contextualSpacing/>
        <w:jc w:val="center"/>
        <w:rPr>
          <w:b/>
          <w:bCs/>
        </w:rPr>
      </w:pPr>
      <w:r w:rsidRPr="00AD52FD">
        <w:rPr>
          <w:b/>
          <w:bCs/>
        </w:rPr>
        <w:lastRenderedPageBreak/>
        <w:t xml:space="preserve">Tabla No. </w:t>
      </w:r>
      <w:r w:rsidR="00950420">
        <w:rPr>
          <w:b/>
          <w:bCs/>
        </w:rPr>
        <w:t>17</w:t>
      </w:r>
    </w:p>
    <w:p w14:paraId="3039D4DC" w14:textId="7FE42D0C" w:rsidR="00C206FA" w:rsidRDefault="00C206FA" w:rsidP="00C206FA">
      <w:pPr>
        <w:tabs>
          <w:tab w:val="left" w:pos="2250"/>
        </w:tabs>
        <w:spacing w:after="0" w:line="240" w:lineRule="auto"/>
        <w:contextualSpacing/>
        <w:jc w:val="center"/>
        <w:rPr>
          <w:b/>
          <w:bCs/>
        </w:rPr>
      </w:pPr>
      <w:r w:rsidRPr="00AD52FD">
        <w:rPr>
          <w:b/>
          <w:bCs/>
        </w:rPr>
        <w:t xml:space="preserve"> Programas presupuestarios etiquetados</w:t>
      </w:r>
      <w:r>
        <w:rPr>
          <w:b/>
          <w:bCs/>
        </w:rPr>
        <w:t xml:space="preserve"> a nivel municipal</w:t>
      </w:r>
      <w:r w:rsidRPr="00AD52FD">
        <w:rPr>
          <w:b/>
          <w:bCs/>
        </w:rPr>
        <w:t xml:space="preserve"> al eje </w:t>
      </w:r>
      <w:r>
        <w:rPr>
          <w:b/>
          <w:bCs/>
        </w:rPr>
        <w:t>9</w:t>
      </w:r>
      <w:r w:rsidRPr="00AD52FD">
        <w:rPr>
          <w:b/>
          <w:bCs/>
        </w:rPr>
        <w:t xml:space="preserve">. </w:t>
      </w:r>
      <w:r>
        <w:rPr>
          <w:b/>
          <w:bCs/>
        </w:rPr>
        <w:t>Equidad laboral</w:t>
      </w:r>
      <w:r w:rsidRPr="00AD52FD">
        <w:rPr>
          <w:b/>
          <w:bCs/>
        </w:rPr>
        <w:t xml:space="preserve"> del Clasificador Presupuestario con Enfoque de Género</w:t>
      </w:r>
    </w:p>
    <w:p w14:paraId="0B493FBF" w14:textId="141F3C4F" w:rsidR="00E7465A" w:rsidRDefault="00E7465A" w:rsidP="00153122">
      <w:pPr>
        <w:tabs>
          <w:tab w:val="left" w:pos="2250"/>
        </w:tabs>
        <w:spacing w:after="0" w:line="360" w:lineRule="auto"/>
        <w:jc w:val="center"/>
        <w:rPr>
          <w:b/>
          <w:bCs/>
        </w:rPr>
      </w:pPr>
    </w:p>
    <w:p w14:paraId="3AA16AF5" w14:textId="5D910DE5" w:rsidR="009E57EC" w:rsidRPr="00387A2F" w:rsidRDefault="00C206FA" w:rsidP="009E57EC">
      <w:pPr>
        <w:spacing w:after="0" w:line="240" w:lineRule="auto"/>
        <w:rPr>
          <w:rFonts w:ascii="Calibri" w:eastAsia="Times New Roman" w:hAnsi="Calibri" w:cs="Times New Roman"/>
          <w:b/>
          <w:bCs/>
          <w:color w:val="000000"/>
          <w:sz w:val="18"/>
          <w:szCs w:val="18"/>
          <w:lang w:eastAsia="es-GT"/>
        </w:rPr>
      </w:pPr>
      <w:r w:rsidRPr="00C206FA">
        <w:rPr>
          <w:noProof/>
          <w:lang w:eastAsia="es-GT"/>
        </w:rPr>
        <w:drawing>
          <wp:inline distT="0" distB="0" distL="0" distR="0" wp14:anchorId="7A1F5ED1" wp14:editId="09595C92">
            <wp:extent cx="5612130" cy="1654682"/>
            <wp:effectExtent l="0" t="0" r="762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1654682"/>
                    </a:xfrm>
                    <a:prstGeom prst="rect">
                      <a:avLst/>
                    </a:prstGeom>
                    <a:noFill/>
                    <a:ln>
                      <a:noFill/>
                    </a:ln>
                  </pic:spPr>
                </pic:pic>
              </a:graphicData>
            </a:graphic>
          </wp:inline>
        </w:drawing>
      </w:r>
      <w:r w:rsidR="009E57EC" w:rsidRPr="009E57EC">
        <w:rPr>
          <w:color w:val="231F20"/>
          <w:sz w:val="18"/>
          <w:szCs w:val="18"/>
        </w:rPr>
        <w:t xml:space="preserve"> </w:t>
      </w:r>
      <w:r w:rsidR="009E57EC" w:rsidRPr="00387A2F">
        <w:rPr>
          <w:color w:val="231F20"/>
          <w:sz w:val="18"/>
          <w:szCs w:val="18"/>
        </w:rPr>
        <w:t xml:space="preserve">Fuente: Sistema de Contabilidad Integrada (SICOIN), </w:t>
      </w:r>
      <w:r w:rsidR="009E57EC">
        <w:rPr>
          <w:color w:val="231F20"/>
          <w:sz w:val="18"/>
          <w:szCs w:val="18"/>
        </w:rPr>
        <w:t>del 1 de enero al 30 de junio</w:t>
      </w:r>
      <w:r w:rsidR="009E57EC" w:rsidRPr="00387A2F">
        <w:rPr>
          <w:color w:val="231F20"/>
          <w:sz w:val="18"/>
          <w:szCs w:val="18"/>
        </w:rPr>
        <w:t xml:space="preserve"> del 2021</w:t>
      </w:r>
    </w:p>
    <w:p w14:paraId="3E4B8845" w14:textId="77777777" w:rsidR="009E57EC" w:rsidRDefault="009E57EC" w:rsidP="00153122">
      <w:pPr>
        <w:tabs>
          <w:tab w:val="left" w:pos="2250"/>
        </w:tabs>
        <w:spacing w:after="0" w:line="360" w:lineRule="auto"/>
        <w:jc w:val="center"/>
        <w:rPr>
          <w:b/>
          <w:bCs/>
        </w:rPr>
      </w:pPr>
    </w:p>
    <w:p w14:paraId="4DC77986" w14:textId="538E5EF3" w:rsidR="00191DE3" w:rsidRDefault="00191DE3" w:rsidP="00191DE3">
      <w:pPr>
        <w:tabs>
          <w:tab w:val="left" w:pos="2250"/>
        </w:tabs>
        <w:spacing w:after="0" w:line="360" w:lineRule="auto"/>
        <w:jc w:val="both"/>
        <w:rPr>
          <w:bCs/>
        </w:rPr>
      </w:pPr>
      <w:r w:rsidRPr="00191DE3">
        <w:rPr>
          <w:bCs/>
        </w:rPr>
        <w:t>El eje de Equidad Laboral es uno de los ejes más importantes para garantizar el desarrollo de las mujeres, a nivel de los gobiernos locales se ha identificado las intervenciones que dan respuesta al eje, como lo son la creación, implementación y funcionamiento de centros de cuidado infantil municipal (guarderías), comedores sociales para ayuda del adulto mayor, centros de cuidado de adulto mayor (asilo de ancianos) y actividades centrales del programa 01, el cual refleja la mayor cantidad de dinero etiquetado.</w:t>
      </w:r>
    </w:p>
    <w:p w14:paraId="17DD6E8A" w14:textId="77777777" w:rsidR="00191DE3" w:rsidRPr="00191DE3" w:rsidRDefault="00191DE3" w:rsidP="00191DE3">
      <w:pPr>
        <w:tabs>
          <w:tab w:val="left" w:pos="2250"/>
        </w:tabs>
        <w:spacing w:after="0" w:line="360" w:lineRule="auto"/>
        <w:jc w:val="both"/>
        <w:rPr>
          <w:bCs/>
        </w:rPr>
      </w:pPr>
    </w:p>
    <w:p w14:paraId="7F015461" w14:textId="1DC37FC7" w:rsidR="00C206FA" w:rsidRDefault="00191DE3" w:rsidP="00191DE3">
      <w:pPr>
        <w:tabs>
          <w:tab w:val="left" w:pos="2250"/>
        </w:tabs>
        <w:spacing w:after="0" w:line="360" w:lineRule="auto"/>
        <w:jc w:val="both"/>
        <w:rPr>
          <w:bCs/>
        </w:rPr>
      </w:pPr>
      <w:r w:rsidRPr="00191DE3">
        <w:rPr>
          <w:bCs/>
        </w:rPr>
        <w:t>Se ha logrado identificar que varios municipios realizan intervenciones de manera directa que contribuyen con el eje de equidad sin embargo se han etiquetado a otros ejes del Clasificador por lo cual se realizó un trabajo de asistencia técnica para su orientaci</w:t>
      </w:r>
      <w:r>
        <w:rPr>
          <w:bCs/>
        </w:rPr>
        <w:t>ón,</w:t>
      </w:r>
      <w:r w:rsidRPr="00191DE3">
        <w:rPr>
          <w:bCs/>
        </w:rPr>
        <w:t xml:space="preserve"> sin embargo</w:t>
      </w:r>
      <w:r>
        <w:rPr>
          <w:bCs/>
        </w:rPr>
        <w:t>,</w:t>
      </w:r>
      <w:r w:rsidRPr="00191DE3">
        <w:rPr>
          <w:bCs/>
        </w:rPr>
        <w:t xml:space="preserve"> la rotación de personal a nivel de los gobiernos locales dificulta el seguimiento a los procesos de acompañamiento en implementación de la herramienta del CPEG. </w:t>
      </w:r>
    </w:p>
    <w:p w14:paraId="7009C40A" w14:textId="35C76CC4" w:rsidR="00F37F75" w:rsidRDefault="00F37F75">
      <w:pPr>
        <w:rPr>
          <w:b/>
          <w:bCs/>
        </w:rPr>
      </w:pPr>
      <w:r>
        <w:rPr>
          <w:b/>
          <w:bCs/>
        </w:rPr>
        <w:br w:type="page"/>
      </w:r>
    </w:p>
    <w:p w14:paraId="70E83B8B" w14:textId="77777777" w:rsidR="002A015D" w:rsidRDefault="00C206FA" w:rsidP="00C206FA">
      <w:pPr>
        <w:tabs>
          <w:tab w:val="left" w:pos="2250"/>
        </w:tabs>
        <w:spacing w:after="0" w:line="240" w:lineRule="auto"/>
        <w:contextualSpacing/>
        <w:jc w:val="center"/>
        <w:rPr>
          <w:b/>
          <w:bCs/>
        </w:rPr>
      </w:pPr>
      <w:r w:rsidRPr="00AD52FD">
        <w:rPr>
          <w:b/>
          <w:bCs/>
        </w:rPr>
        <w:lastRenderedPageBreak/>
        <w:t xml:space="preserve">Tabla No. </w:t>
      </w:r>
      <w:r w:rsidR="00950420">
        <w:rPr>
          <w:b/>
          <w:bCs/>
        </w:rPr>
        <w:t>18</w:t>
      </w:r>
      <w:r w:rsidRPr="00AD52FD">
        <w:rPr>
          <w:b/>
          <w:bCs/>
        </w:rPr>
        <w:t xml:space="preserve"> </w:t>
      </w:r>
    </w:p>
    <w:p w14:paraId="3DB7C3A1" w14:textId="163E58FA" w:rsidR="00C206FA" w:rsidRDefault="00C206FA" w:rsidP="00C206FA">
      <w:pPr>
        <w:tabs>
          <w:tab w:val="left" w:pos="2250"/>
        </w:tabs>
        <w:spacing w:after="0" w:line="240" w:lineRule="auto"/>
        <w:contextualSpacing/>
        <w:jc w:val="center"/>
        <w:rPr>
          <w:b/>
          <w:bCs/>
        </w:rPr>
      </w:pPr>
      <w:r w:rsidRPr="00AD52FD">
        <w:rPr>
          <w:b/>
          <w:bCs/>
        </w:rPr>
        <w:t>Programas presupuestarios etiquetados</w:t>
      </w:r>
      <w:r>
        <w:rPr>
          <w:b/>
          <w:bCs/>
        </w:rPr>
        <w:t xml:space="preserve"> a nivel municipal</w:t>
      </w:r>
      <w:r w:rsidRPr="00AD52FD">
        <w:rPr>
          <w:b/>
          <w:bCs/>
        </w:rPr>
        <w:t xml:space="preserve"> al eje </w:t>
      </w:r>
      <w:r>
        <w:rPr>
          <w:b/>
          <w:bCs/>
        </w:rPr>
        <w:t>10</w:t>
      </w:r>
      <w:r w:rsidRPr="00AD52FD">
        <w:rPr>
          <w:b/>
          <w:bCs/>
        </w:rPr>
        <w:t xml:space="preserve">. </w:t>
      </w:r>
      <w:r>
        <w:rPr>
          <w:b/>
          <w:bCs/>
        </w:rPr>
        <w:t>Mecanismos Institucionales</w:t>
      </w:r>
      <w:r w:rsidRPr="00AD52FD">
        <w:rPr>
          <w:b/>
          <w:bCs/>
        </w:rPr>
        <w:t xml:space="preserve"> del Clasificador Presupuestario con Enfoque de Género</w:t>
      </w:r>
    </w:p>
    <w:p w14:paraId="4DD8D213" w14:textId="77777777" w:rsidR="00C206FA" w:rsidRDefault="00C206FA" w:rsidP="00C206FA">
      <w:pPr>
        <w:tabs>
          <w:tab w:val="left" w:pos="2250"/>
        </w:tabs>
        <w:spacing w:after="0" w:line="360" w:lineRule="auto"/>
        <w:jc w:val="center"/>
        <w:rPr>
          <w:b/>
          <w:bCs/>
        </w:rPr>
      </w:pPr>
    </w:p>
    <w:p w14:paraId="20036F12" w14:textId="496CB5DC" w:rsidR="00C206FA" w:rsidRDefault="00C206FA" w:rsidP="00153122">
      <w:pPr>
        <w:tabs>
          <w:tab w:val="left" w:pos="2250"/>
        </w:tabs>
        <w:spacing w:after="0" w:line="360" w:lineRule="auto"/>
        <w:jc w:val="center"/>
        <w:rPr>
          <w:b/>
          <w:bCs/>
        </w:rPr>
      </w:pPr>
      <w:r w:rsidRPr="00C206FA">
        <w:rPr>
          <w:noProof/>
          <w:lang w:eastAsia="es-GT"/>
        </w:rPr>
        <w:drawing>
          <wp:inline distT="0" distB="0" distL="0" distR="0" wp14:anchorId="24C1370E" wp14:editId="3A56FD9F">
            <wp:extent cx="5612130" cy="1804563"/>
            <wp:effectExtent l="0" t="0" r="762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1804563"/>
                    </a:xfrm>
                    <a:prstGeom prst="rect">
                      <a:avLst/>
                    </a:prstGeom>
                    <a:noFill/>
                    <a:ln>
                      <a:noFill/>
                    </a:ln>
                  </pic:spPr>
                </pic:pic>
              </a:graphicData>
            </a:graphic>
          </wp:inline>
        </w:drawing>
      </w:r>
    </w:p>
    <w:p w14:paraId="01D95FCB" w14:textId="77777777" w:rsidR="009E57EC" w:rsidRPr="00387A2F" w:rsidRDefault="009E57EC" w:rsidP="009E57EC">
      <w:pPr>
        <w:spacing w:after="0" w:line="240" w:lineRule="auto"/>
        <w:rPr>
          <w:rFonts w:ascii="Calibri" w:eastAsia="Times New Roman" w:hAnsi="Calibri" w:cs="Times New Roman"/>
          <w:b/>
          <w:bCs/>
          <w:color w:val="000000"/>
          <w:sz w:val="18"/>
          <w:szCs w:val="18"/>
          <w:lang w:eastAsia="es-GT"/>
        </w:rPr>
      </w:pPr>
      <w:r w:rsidRPr="00387A2F">
        <w:rPr>
          <w:color w:val="231F20"/>
          <w:sz w:val="18"/>
          <w:szCs w:val="18"/>
        </w:rPr>
        <w:t xml:space="preserve">Fuente: Sistema de Contabilidad Integrada (SICOIN), </w:t>
      </w:r>
      <w:r>
        <w:rPr>
          <w:color w:val="231F20"/>
          <w:sz w:val="18"/>
          <w:szCs w:val="18"/>
        </w:rPr>
        <w:t>del 1 de enero al 30 de junio</w:t>
      </w:r>
      <w:r w:rsidRPr="00387A2F">
        <w:rPr>
          <w:color w:val="231F20"/>
          <w:sz w:val="18"/>
          <w:szCs w:val="18"/>
        </w:rPr>
        <w:t xml:space="preserve"> del 2021</w:t>
      </w:r>
    </w:p>
    <w:p w14:paraId="79A7E25A" w14:textId="2DAE92D0" w:rsidR="00E7465A" w:rsidRDefault="00E7465A" w:rsidP="00153122">
      <w:pPr>
        <w:tabs>
          <w:tab w:val="left" w:pos="2250"/>
        </w:tabs>
        <w:spacing w:after="0" w:line="360" w:lineRule="auto"/>
        <w:jc w:val="center"/>
        <w:rPr>
          <w:b/>
          <w:bCs/>
        </w:rPr>
      </w:pPr>
    </w:p>
    <w:p w14:paraId="2E59118C" w14:textId="0D053041" w:rsidR="00751DBE" w:rsidRDefault="00191DE3" w:rsidP="00D936E6">
      <w:pPr>
        <w:tabs>
          <w:tab w:val="left" w:pos="2250"/>
        </w:tabs>
        <w:spacing w:after="0" w:line="360" w:lineRule="auto"/>
        <w:jc w:val="both"/>
        <w:rPr>
          <w:b/>
          <w:bCs/>
        </w:rPr>
      </w:pPr>
      <w:r w:rsidRPr="00032B56">
        <w:rPr>
          <w:bCs/>
        </w:rPr>
        <w:t>El Eje de mecanismos institucionales juega un papel muy importante para identificar acciones estratégicas que respondan de manera directa</w:t>
      </w:r>
      <w:r w:rsidR="008A7A1A">
        <w:rPr>
          <w:bCs/>
        </w:rPr>
        <w:t xml:space="preserve"> a la mejora de la situación de la mujer</w:t>
      </w:r>
      <w:r w:rsidRPr="00032B56">
        <w:rPr>
          <w:bCs/>
        </w:rPr>
        <w:t>, sin embargo, se torna complicado para los gobiernos locales poder marcar adecuadamente los programas, en el caso del programa 19. Movilidad Urbana</w:t>
      </w:r>
      <w:r w:rsidR="00DB3A06">
        <w:rPr>
          <w:bCs/>
        </w:rPr>
        <w:t>,</w:t>
      </w:r>
      <w:r w:rsidRPr="00032B56">
        <w:rPr>
          <w:bCs/>
        </w:rPr>
        <w:t xml:space="preserve"> concentra la mayor cantidad de los recursos económicos etiquetados, </w:t>
      </w:r>
      <w:r w:rsidR="00A60835">
        <w:rPr>
          <w:bCs/>
        </w:rPr>
        <w:t xml:space="preserve">sin embargo, incluye </w:t>
      </w:r>
      <w:r w:rsidRPr="00032B56">
        <w:rPr>
          <w:bCs/>
        </w:rPr>
        <w:t xml:space="preserve">acciones que responden al Plan de Desarrollo Municipal y Ordenamiento Territorial </w:t>
      </w:r>
      <w:r w:rsidR="00A60835">
        <w:rPr>
          <w:bCs/>
        </w:rPr>
        <w:t xml:space="preserve">que se consideran </w:t>
      </w:r>
      <w:r w:rsidR="00032B56" w:rsidRPr="00032B56">
        <w:rPr>
          <w:bCs/>
        </w:rPr>
        <w:t>en el Eje Político 4, literal d, de la Política Nacional de Promoción y Desarrollo Integral de las Mujeres</w:t>
      </w:r>
      <w:r w:rsidR="00032B56">
        <w:rPr>
          <w:b/>
          <w:bCs/>
        </w:rPr>
        <w:t>.</w:t>
      </w:r>
    </w:p>
    <w:p w14:paraId="0239B224" w14:textId="77777777" w:rsidR="002A015D" w:rsidRDefault="00B93AD7" w:rsidP="00B93AD7">
      <w:pPr>
        <w:tabs>
          <w:tab w:val="left" w:pos="2250"/>
        </w:tabs>
        <w:spacing w:after="0" w:line="240" w:lineRule="auto"/>
        <w:contextualSpacing/>
        <w:jc w:val="center"/>
        <w:rPr>
          <w:b/>
          <w:bCs/>
        </w:rPr>
      </w:pPr>
      <w:r w:rsidRPr="00AD52FD">
        <w:rPr>
          <w:b/>
          <w:bCs/>
        </w:rPr>
        <w:t xml:space="preserve">Tabla No. </w:t>
      </w:r>
      <w:r w:rsidR="00FA64DE">
        <w:rPr>
          <w:b/>
          <w:bCs/>
        </w:rPr>
        <w:t>19</w:t>
      </w:r>
      <w:r w:rsidRPr="00AD52FD">
        <w:rPr>
          <w:b/>
          <w:bCs/>
        </w:rPr>
        <w:t xml:space="preserve"> </w:t>
      </w:r>
    </w:p>
    <w:p w14:paraId="639B904F" w14:textId="5967E7EF" w:rsidR="00B93AD7" w:rsidRDefault="00B93AD7" w:rsidP="00B93AD7">
      <w:pPr>
        <w:tabs>
          <w:tab w:val="left" w:pos="2250"/>
        </w:tabs>
        <w:spacing w:after="0" w:line="240" w:lineRule="auto"/>
        <w:contextualSpacing/>
        <w:jc w:val="center"/>
        <w:rPr>
          <w:b/>
          <w:bCs/>
        </w:rPr>
      </w:pPr>
      <w:r w:rsidRPr="00AD52FD">
        <w:rPr>
          <w:b/>
          <w:bCs/>
        </w:rPr>
        <w:t>Programas presupuestarios etiquetados</w:t>
      </w:r>
      <w:r>
        <w:rPr>
          <w:b/>
          <w:bCs/>
        </w:rPr>
        <w:t xml:space="preserve"> a nivel municipal</w:t>
      </w:r>
      <w:r w:rsidRPr="00AD52FD">
        <w:rPr>
          <w:b/>
          <w:bCs/>
        </w:rPr>
        <w:t xml:space="preserve"> al eje </w:t>
      </w:r>
      <w:r>
        <w:rPr>
          <w:b/>
          <w:bCs/>
        </w:rPr>
        <w:t>11</w:t>
      </w:r>
      <w:r w:rsidR="00032B56">
        <w:rPr>
          <w:b/>
          <w:bCs/>
        </w:rPr>
        <w:t xml:space="preserve"> </w:t>
      </w:r>
      <w:r>
        <w:rPr>
          <w:b/>
          <w:bCs/>
        </w:rPr>
        <w:t xml:space="preserve">Participación </w:t>
      </w:r>
      <w:r w:rsidR="00950420">
        <w:rPr>
          <w:b/>
          <w:bCs/>
        </w:rPr>
        <w:t xml:space="preserve">Sociopolítica </w:t>
      </w:r>
      <w:r w:rsidR="00950420" w:rsidRPr="00AD52FD">
        <w:rPr>
          <w:b/>
          <w:bCs/>
        </w:rPr>
        <w:t>del</w:t>
      </w:r>
      <w:r w:rsidRPr="00AD52FD">
        <w:rPr>
          <w:b/>
          <w:bCs/>
        </w:rPr>
        <w:t xml:space="preserve"> Clasificador Presupuestario con Enfoque de Género</w:t>
      </w:r>
    </w:p>
    <w:p w14:paraId="677D5E0B" w14:textId="2D2F7526" w:rsidR="00B93AD7" w:rsidRDefault="00B93AD7" w:rsidP="00153122">
      <w:pPr>
        <w:tabs>
          <w:tab w:val="left" w:pos="2250"/>
        </w:tabs>
        <w:spacing w:after="0" w:line="360" w:lineRule="auto"/>
        <w:jc w:val="center"/>
        <w:rPr>
          <w:b/>
          <w:bCs/>
        </w:rPr>
      </w:pPr>
    </w:p>
    <w:p w14:paraId="10AE0946" w14:textId="1898FF41" w:rsidR="00B93AD7" w:rsidRDefault="00B93AD7" w:rsidP="00153122">
      <w:pPr>
        <w:tabs>
          <w:tab w:val="left" w:pos="2250"/>
        </w:tabs>
        <w:spacing w:after="0" w:line="360" w:lineRule="auto"/>
        <w:jc w:val="center"/>
        <w:rPr>
          <w:b/>
          <w:bCs/>
        </w:rPr>
      </w:pPr>
      <w:r w:rsidRPr="00B93AD7">
        <w:rPr>
          <w:noProof/>
          <w:lang w:eastAsia="es-GT"/>
        </w:rPr>
        <w:drawing>
          <wp:inline distT="0" distB="0" distL="0" distR="0" wp14:anchorId="2F14F26C" wp14:editId="5B0FCA79">
            <wp:extent cx="5612130" cy="2220032"/>
            <wp:effectExtent l="0" t="0" r="7620" b="889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2220032"/>
                    </a:xfrm>
                    <a:prstGeom prst="rect">
                      <a:avLst/>
                    </a:prstGeom>
                    <a:noFill/>
                    <a:ln>
                      <a:noFill/>
                    </a:ln>
                  </pic:spPr>
                </pic:pic>
              </a:graphicData>
            </a:graphic>
          </wp:inline>
        </w:drawing>
      </w:r>
    </w:p>
    <w:p w14:paraId="5AA219F1" w14:textId="77777777" w:rsidR="009E57EC" w:rsidRPr="00387A2F" w:rsidRDefault="009E57EC" w:rsidP="009E57EC">
      <w:pPr>
        <w:spacing w:after="0" w:line="240" w:lineRule="auto"/>
        <w:rPr>
          <w:rFonts w:ascii="Calibri" w:eastAsia="Times New Roman" w:hAnsi="Calibri" w:cs="Times New Roman"/>
          <w:b/>
          <w:bCs/>
          <w:color w:val="000000"/>
          <w:sz w:val="18"/>
          <w:szCs w:val="18"/>
          <w:lang w:eastAsia="es-GT"/>
        </w:rPr>
      </w:pPr>
      <w:r w:rsidRPr="00387A2F">
        <w:rPr>
          <w:color w:val="231F20"/>
          <w:sz w:val="18"/>
          <w:szCs w:val="18"/>
        </w:rPr>
        <w:t xml:space="preserve">Fuente: Sistema de Contabilidad Integrada (SICOIN), </w:t>
      </w:r>
      <w:r>
        <w:rPr>
          <w:color w:val="231F20"/>
          <w:sz w:val="18"/>
          <w:szCs w:val="18"/>
        </w:rPr>
        <w:t>del 1 de enero al 30 de junio</w:t>
      </w:r>
      <w:r w:rsidRPr="00387A2F">
        <w:rPr>
          <w:color w:val="231F20"/>
          <w:sz w:val="18"/>
          <w:szCs w:val="18"/>
        </w:rPr>
        <w:t xml:space="preserve"> del 2021</w:t>
      </w:r>
    </w:p>
    <w:p w14:paraId="408529D2" w14:textId="77777777" w:rsidR="009E57EC" w:rsidRDefault="009E57EC" w:rsidP="00153122">
      <w:pPr>
        <w:tabs>
          <w:tab w:val="left" w:pos="2250"/>
        </w:tabs>
        <w:spacing w:after="0" w:line="360" w:lineRule="auto"/>
        <w:jc w:val="center"/>
        <w:rPr>
          <w:b/>
          <w:bCs/>
        </w:rPr>
      </w:pPr>
    </w:p>
    <w:p w14:paraId="019C2B7B" w14:textId="1B18D76D" w:rsidR="00B93AD7" w:rsidRDefault="00032B56" w:rsidP="002B7E61">
      <w:pPr>
        <w:tabs>
          <w:tab w:val="left" w:pos="2250"/>
        </w:tabs>
        <w:spacing w:after="0" w:line="360" w:lineRule="auto"/>
        <w:jc w:val="both"/>
        <w:rPr>
          <w:bCs/>
        </w:rPr>
      </w:pPr>
      <w:r w:rsidRPr="002B7E61">
        <w:rPr>
          <w:bCs/>
        </w:rPr>
        <w:lastRenderedPageBreak/>
        <w:t>La participación sociopolítica de las mujeres a nivel local sigue siendo un desafío, por lo que en la identificación de programas presupuestarios que d</w:t>
      </w:r>
      <w:r w:rsidR="00415207">
        <w:rPr>
          <w:bCs/>
        </w:rPr>
        <w:t>a</w:t>
      </w:r>
      <w:r w:rsidRPr="002B7E61">
        <w:rPr>
          <w:bCs/>
        </w:rPr>
        <w:t>n respuesta de manera estratégica</w:t>
      </w:r>
      <w:r w:rsidR="00A60835">
        <w:rPr>
          <w:bCs/>
        </w:rPr>
        <w:t>,</w:t>
      </w:r>
      <w:r w:rsidRPr="002B7E61">
        <w:rPr>
          <w:bCs/>
        </w:rPr>
        <w:t xml:space="preserve"> no existe un programa como tal, lo cual permite a los gobiernos municipales identificar toda clase de estructuras programáticas mismas que no tienen relación directa con la participación socio política de las mujeres, en la revisión y análisis de la información obtenida de las fichas de seguimiento especial de gasto, nos refleja que el programa 12. Apoyo al Consumo Adecuado de Alimentos, acción orientada a mujeres se ha considerado por 2 municipios que da respuesta a la participación de las </w:t>
      </w:r>
      <w:r w:rsidR="002B7E61" w:rsidRPr="002B7E61">
        <w:rPr>
          <w:bCs/>
        </w:rPr>
        <w:t>mujeres</w:t>
      </w:r>
      <w:r w:rsidRPr="002B7E61">
        <w:rPr>
          <w:bCs/>
        </w:rPr>
        <w:t xml:space="preserve"> en espacios de </w:t>
      </w:r>
      <w:r w:rsidR="002B7E61" w:rsidRPr="002B7E61">
        <w:rPr>
          <w:bCs/>
        </w:rPr>
        <w:t>toma de decisión, sin embargo, esto es una intervención que conlleva la dotación de alimentos a las mujeres.</w:t>
      </w:r>
    </w:p>
    <w:p w14:paraId="2A590FC6" w14:textId="77777777" w:rsidR="00FA64DE" w:rsidRPr="002B7E61" w:rsidRDefault="00FA64DE" w:rsidP="002B7E61">
      <w:pPr>
        <w:tabs>
          <w:tab w:val="left" w:pos="2250"/>
        </w:tabs>
        <w:spacing w:after="0" w:line="360" w:lineRule="auto"/>
        <w:jc w:val="both"/>
        <w:rPr>
          <w:bCs/>
        </w:rPr>
      </w:pPr>
    </w:p>
    <w:p w14:paraId="45E3C88A" w14:textId="0C372BD2" w:rsidR="002B7E61" w:rsidRPr="002B7E61" w:rsidRDefault="002B7E61" w:rsidP="002B7E61">
      <w:pPr>
        <w:tabs>
          <w:tab w:val="left" w:pos="2250"/>
        </w:tabs>
        <w:spacing w:after="0" w:line="360" w:lineRule="auto"/>
        <w:jc w:val="both"/>
        <w:rPr>
          <w:bCs/>
        </w:rPr>
      </w:pPr>
      <w:r w:rsidRPr="002B7E61">
        <w:rPr>
          <w:bCs/>
        </w:rPr>
        <w:t>Es un desafío constante la orientación a los equipos de las direcciones de planificación y de administración financiera municipal identificar de manera adecuada los planes, programas o proyectos orientados a la participación sociopolítica de las mujeres a nivel municipal.</w:t>
      </w:r>
    </w:p>
    <w:p w14:paraId="442BB307" w14:textId="5B9EC344" w:rsidR="00B93AD7" w:rsidRDefault="00B93AD7" w:rsidP="00153122">
      <w:pPr>
        <w:tabs>
          <w:tab w:val="left" w:pos="2250"/>
        </w:tabs>
        <w:spacing w:after="0" w:line="360" w:lineRule="auto"/>
        <w:jc w:val="center"/>
        <w:rPr>
          <w:b/>
          <w:bCs/>
        </w:rPr>
      </w:pPr>
    </w:p>
    <w:p w14:paraId="7D5915E2" w14:textId="77777777" w:rsidR="002A015D" w:rsidRDefault="00B93AD7" w:rsidP="00B93AD7">
      <w:pPr>
        <w:tabs>
          <w:tab w:val="left" w:pos="2250"/>
        </w:tabs>
        <w:spacing w:after="0" w:line="240" w:lineRule="auto"/>
        <w:contextualSpacing/>
        <w:jc w:val="center"/>
        <w:rPr>
          <w:b/>
          <w:bCs/>
        </w:rPr>
      </w:pPr>
      <w:r w:rsidRPr="00AD52FD">
        <w:rPr>
          <w:b/>
          <w:bCs/>
        </w:rPr>
        <w:t xml:space="preserve">Tabla No. </w:t>
      </w:r>
      <w:r w:rsidR="00FA64DE">
        <w:rPr>
          <w:b/>
          <w:bCs/>
        </w:rPr>
        <w:t>20</w:t>
      </w:r>
      <w:r w:rsidRPr="00AD52FD">
        <w:rPr>
          <w:b/>
          <w:bCs/>
        </w:rPr>
        <w:t xml:space="preserve"> </w:t>
      </w:r>
    </w:p>
    <w:p w14:paraId="67BE884F" w14:textId="1E6E0240" w:rsidR="00B93AD7" w:rsidRDefault="00B93AD7" w:rsidP="00B93AD7">
      <w:pPr>
        <w:tabs>
          <w:tab w:val="left" w:pos="2250"/>
        </w:tabs>
        <w:spacing w:after="0" w:line="240" w:lineRule="auto"/>
        <w:contextualSpacing/>
        <w:jc w:val="center"/>
        <w:rPr>
          <w:b/>
          <w:bCs/>
        </w:rPr>
      </w:pPr>
      <w:r w:rsidRPr="00AD52FD">
        <w:rPr>
          <w:b/>
          <w:bCs/>
        </w:rPr>
        <w:t>Programas presupuestarios etiquetados</w:t>
      </w:r>
      <w:r>
        <w:rPr>
          <w:b/>
          <w:bCs/>
        </w:rPr>
        <w:t xml:space="preserve"> a nivel municipal</w:t>
      </w:r>
      <w:r w:rsidRPr="00AD52FD">
        <w:rPr>
          <w:b/>
          <w:bCs/>
        </w:rPr>
        <w:t xml:space="preserve"> al eje </w:t>
      </w:r>
      <w:r>
        <w:rPr>
          <w:b/>
          <w:bCs/>
        </w:rPr>
        <w:t xml:space="preserve">12 Identidad </w:t>
      </w:r>
      <w:r w:rsidR="00C73031">
        <w:rPr>
          <w:b/>
          <w:bCs/>
        </w:rPr>
        <w:t>Cultural de</w:t>
      </w:r>
      <w:r>
        <w:rPr>
          <w:b/>
          <w:bCs/>
        </w:rPr>
        <w:t xml:space="preserve"> las Mujeres Mayas, </w:t>
      </w:r>
      <w:r w:rsidR="00C73031">
        <w:rPr>
          <w:b/>
          <w:bCs/>
        </w:rPr>
        <w:t>Garífunas, Xinkas y</w:t>
      </w:r>
      <w:r>
        <w:rPr>
          <w:b/>
          <w:bCs/>
        </w:rPr>
        <w:t xml:space="preserve"> Mestizas  </w:t>
      </w:r>
      <w:r w:rsidRPr="00AD52FD">
        <w:rPr>
          <w:b/>
          <w:bCs/>
        </w:rPr>
        <w:t xml:space="preserve"> del Clasificador Presupuestario con Enfoque de Género</w:t>
      </w:r>
    </w:p>
    <w:p w14:paraId="3036A797" w14:textId="249F1BCF" w:rsidR="00B93AD7" w:rsidRDefault="00B93AD7" w:rsidP="00153122">
      <w:pPr>
        <w:tabs>
          <w:tab w:val="left" w:pos="2250"/>
        </w:tabs>
        <w:spacing w:after="0" w:line="360" w:lineRule="auto"/>
        <w:jc w:val="center"/>
        <w:rPr>
          <w:b/>
          <w:bCs/>
        </w:rPr>
      </w:pPr>
      <w:r w:rsidRPr="00B93AD7">
        <w:rPr>
          <w:noProof/>
          <w:lang w:eastAsia="es-GT"/>
        </w:rPr>
        <w:drawing>
          <wp:inline distT="0" distB="0" distL="0" distR="0" wp14:anchorId="735C786B" wp14:editId="58279BFF">
            <wp:extent cx="5612130" cy="1678791"/>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1678791"/>
                    </a:xfrm>
                    <a:prstGeom prst="rect">
                      <a:avLst/>
                    </a:prstGeom>
                    <a:noFill/>
                    <a:ln>
                      <a:noFill/>
                    </a:ln>
                  </pic:spPr>
                </pic:pic>
              </a:graphicData>
            </a:graphic>
          </wp:inline>
        </w:drawing>
      </w:r>
    </w:p>
    <w:p w14:paraId="6CCB2D87" w14:textId="7B7D9C65" w:rsidR="009E57EC" w:rsidRPr="00387A2F" w:rsidRDefault="009E57EC" w:rsidP="009E57EC">
      <w:pPr>
        <w:spacing w:after="0" w:line="240" w:lineRule="auto"/>
        <w:rPr>
          <w:rFonts w:ascii="Calibri" w:eastAsia="Times New Roman" w:hAnsi="Calibri" w:cs="Times New Roman"/>
          <w:b/>
          <w:bCs/>
          <w:color w:val="000000"/>
          <w:sz w:val="18"/>
          <w:szCs w:val="18"/>
          <w:lang w:eastAsia="es-GT"/>
        </w:rPr>
      </w:pPr>
      <w:r w:rsidRPr="00387A2F">
        <w:rPr>
          <w:color w:val="231F20"/>
          <w:sz w:val="18"/>
          <w:szCs w:val="18"/>
        </w:rPr>
        <w:t xml:space="preserve">Fuente: Sistema de Contabilidad Integrada (SICOIN), </w:t>
      </w:r>
      <w:r>
        <w:rPr>
          <w:color w:val="231F20"/>
          <w:sz w:val="18"/>
          <w:szCs w:val="18"/>
        </w:rPr>
        <w:t>del 1 de enero al 30 de junio</w:t>
      </w:r>
      <w:r w:rsidRPr="00387A2F">
        <w:rPr>
          <w:color w:val="231F20"/>
          <w:sz w:val="18"/>
          <w:szCs w:val="18"/>
        </w:rPr>
        <w:t xml:space="preserve"> del 2021</w:t>
      </w:r>
    </w:p>
    <w:p w14:paraId="5A298DBB" w14:textId="37CF5EA7" w:rsidR="009E57EC" w:rsidRDefault="009E57EC" w:rsidP="00153122">
      <w:pPr>
        <w:tabs>
          <w:tab w:val="left" w:pos="2250"/>
        </w:tabs>
        <w:spacing w:after="0" w:line="360" w:lineRule="auto"/>
        <w:jc w:val="center"/>
        <w:rPr>
          <w:b/>
          <w:bCs/>
        </w:rPr>
      </w:pPr>
    </w:p>
    <w:p w14:paraId="2520BF78" w14:textId="47FC115C" w:rsidR="00B93AD7" w:rsidRPr="0020441B" w:rsidRDefault="002B7E61" w:rsidP="002B7E61">
      <w:pPr>
        <w:tabs>
          <w:tab w:val="left" w:pos="2250"/>
        </w:tabs>
        <w:spacing w:after="0" w:line="360" w:lineRule="auto"/>
        <w:jc w:val="both"/>
      </w:pPr>
      <w:r w:rsidRPr="002B7E61">
        <w:rPr>
          <w:bCs/>
        </w:rPr>
        <w:t>El eje 12 Identidad Cultural de las Mujeres Mayas, Garífunas, Xinkas y Mestizas, refleja a través de 2 municipios la mayor concentración de recursos económicos etiquetados al CPEG, sin embargo, el programa presupuestario identificado no atiende el tema de la identidad cultural de las mujeres, por lo cual se orientó su etiquetación y la consideración del des marcaje de las</w:t>
      </w:r>
      <w:r>
        <w:rPr>
          <w:b/>
          <w:bCs/>
        </w:rPr>
        <w:t xml:space="preserve"> </w:t>
      </w:r>
      <w:r w:rsidRPr="0020441B">
        <w:t>estructuras.</w:t>
      </w:r>
    </w:p>
    <w:p w14:paraId="00F337EF" w14:textId="77777777" w:rsidR="0020441B" w:rsidRDefault="0020441B" w:rsidP="003C264F">
      <w:pPr>
        <w:tabs>
          <w:tab w:val="left" w:pos="2250"/>
        </w:tabs>
        <w:spacing w:after="0" w:line="360" w:lineRule="auto"/>
        <w:jc w:val="both"/>
      </w:pPr>
    </w:p>
    <w:p w14:paraId="1A509831" w14:textId="3A6ED6BB" w:rsidR="00DF3F33" w:rsidRDefault="003C264F" w:rsidP="003C264F">
      <w:pPr>
        <w:tabs>
          <w:tab w:val="left" w:pos="2250"/>
        </w:tabs>
        <w:spacing w:after="0" w:line="360" w:lineRule="auto"/>
        <w:jc w:val="both"/>
      </w:pPr>
      <w:r>
        <w:t>En relación con</w:t>
      </w:r>
      <w:r w:rsidR="00676CE0">
        <w:t xml:space="preserve"> los beneficiarios</w:t>
      </w:r>
      <w:r>
        <w:t>,</w:t>
      </w:r>
      <w:r w:rsidR="00676CE0">
        <w:t xml:space="preserve"> </w:t>
      </w:r>
      <w:r w:rsidR="00A477F3">
        <w:t xml:space="preserve">se observa en la Gráfica 4 que </w:t>
      </w:r>
      <w:r w:rsidR="00676CE0">
        <w:t>las municipalidades vincularon mayormente a</w:t>
      </w:r>
      <w:r w:rsidR="0083513A">
        <w:t>l Código 2 de Beneficiarios</w:t>
      </w:r>
      <w:r w:rsidR="00676CE0">
        <w:t xml:space="preserve"> </w:t>
      </w:r>
      <w:r w:rsidR="0083513A">
        <w:t xml:space="preserve">que corresponde a </w:t>
      </w:r>
      <w:r w:rsidR="00676CE0">
        <w:t xml:space="preserve">Familias o Grupos Sociales con Énfasis </w:t>
      </w:r>
      <w:r w:rsidR="00676CE0">
        <w:lastRenderedPageBreak/>
        <w:t xml:space="preserve">en Mujeres y en mucha menor proporción cuando los beneficiarios </w:t>
      </w:r>
      <w:r w:rsidR="0083513A">
        <w:t xml:space="preserve">son del Código 1 </w:t>
      </w:r>
      <w:r>
        <w:t>E</w:t>
      </w:r>
      <w:r w:rsidR="00676CE0">
        <w:t>xclu</w:t>
      </w:r>
      <w:r w:rsidR="007D7046">
        <w:t>sivas para Mujeres, esto debido a que los gobiernos municipales no ven reflejadas a las mujeres como beneficiarias directas en los proyectos de inversión, así mismo la carencia de programas presupuestarios que atiendan de manera directa las necesidades de las mujeres.</w:t>
      </w:r>
    </w:p>
    <w:p w14:paraId="2C284684" w14:textId="77777777" w:rsidR="00FD41DB" w:rsidRDefault="00FD41DB" w:rsidP="003C264F">
      <w:pPr>
        <w:tabs>
          <w:tab w:val="left" w:pos="2250"/>
        </w:tabs>
        <w:spacing w:after="0" w:line="360" w:lineRule="auto"/>
        <w:jc w:val="both"/>
      </w:pPr>
    </w:p>
    <w:p w14:paraId="5D146817" w14:textId="7B7E3D8A" w:rsidR="001D421D" w:rsidRPr="00073CA5" w:rsidRDefault="007D7046" w:rsidP="00073CA5">
      <w:pPr>
        <w:pStyle w:val="Tabla"/>
        <w:jc w:val="center"/>
        <w:rPr>
          <w:b/>
          <w:bCs/>
        </w:rPr>
      </w:pPr>
      <w:r>
        <w:rPr>
          <w:b/>
          <w:bCs/>
        </w:rPr>
        <w:t>Grafica</w:t>
      </w:r>
      <w:r w:rsidR="001D421D" w:rsidRPr="00073CA5">
        <w:rPr>
          <w:b/>
          <w:bCs/>
        </w:rPr>
        <w:t xml:space="preserve"> </w:t>
      </w:r>
      <w:r>
        <w:rPr>
          <w:b/>
          <w:bCs/>
        </w:rPr>
        <w:t>4</w:t>
      </w:r>
    </w:p>
    <w:p w14:paraId="7C2780F5" w14:textId="045DCFC6" w:rsidR="0033231F" w:rsidRPr="00337B99" w:rsidRDefault="0033231F" w:rsidP="0033231F">
      <w:pPr>
        <w:spacing w:after="0" w:line="240" w:lineRule="auto"/>
        <w:jc w:val="center"/>
        <w:rPr>
          <w:rFonts w:ascii="Calibri" w:eastAsia="Times New Roman" w:hAnsi="Calibri" w:cs="Times New Roman"/>
          <w:b/>
          <w:bCs/>
          <w:color w:val="000000"/>
          <w:lang w:eastAsia="es-GT"/>
        </w:rPr>
      </w:pPr>
      <w:r w:rsidRPr="00337B99">
        <w:rPr>
          <w:rFonts w:ascii="Calibri" w:eastAsia="Times New Roman" w:hAnsi="Calibri" w:cs="Times New Roman"/>
          <w:b/>
          <w:bCs/>
          <w:color w:val="000000"/>
          <w:lang w:eastAsia="es-GT"/>
        </w:rPr>
        <w:t>Presupuesto Vinculado al CPEG en el Primer Semestre 2021</w:t>
      </w:r>
    </w:p>
    <w:p w14:paraId="5BEF41CB" w14:textId="73AC5380" w:rsidR="00DA798A" w:rsidRPr="00B01685" w:rsidRDefault="0033231F" w:rsidP="0033231F">
      <w:pPr>
        <w:tabs>
          <w:tab w:val="left" w:pos="1275"/>
        </w:tabs>
        <w:spacing w:line="240" w:lineRule="auto"/>
        <w:jc w:val="center"/>
        <w:rPr>
          <w:b/>
          <w:bCs/>
        </w:rPr>
      </w:pPr>
      <w:r>
        <w:rPr>
          <w:b/>
          <w:bCs/>
        </w:rPr>
        <w:t>Gobierno local</w:t>
      </w:r>
      <w:r w:rsidRPr="00337B99">
        <w:rPr>
          <w:b/>
          <w:bCs/>
        </w:rPr>
        <w:t xml:space="preserve"> por beneficiario</w:t>
      </w:r>
    </w:p>
    <w:p w14:paraId="580226CA" w14:textId="7D955E85" w:rsidR="007D7046" w:rsidRDefault="00950420" w:rsidP="00153122">
      <w:pPr>
        <w:tabs>
          <w:tab w:val="left" w:pos="3060"/>
          <w:tab w:val="left" w:pos="3450"/>
        </w:tabs>
        <w:spacing w:after="0" w:line="360" w:lineRule="auto"/>
        <w:rPr>
          <w:color w:val="231F20"/>
          <w:sz w:val="18"/>
          <w:szCs w:val="18"/>
        </w:rPr>
      </w:pPr>
      <w:r>
        <w:rPr>
          <w:noProof/>
          <w:color w:val="231F20"/>
          <w:sz w:val="18"/>
          <w:szCs w:val="18"/>
          <w:lang w:eastAsia="es-GT"/>
        </w:rPr>
        <w:drawing>
          <wp:anchor distT="0" distB="0" distL="114300" distR="114300" simplePos="0" relativeHeight="251660288" behindDoc="1" locked="0" layoutInCell="1" allowOverlap="1" wp14:anchorId="3691B3FA" wp14:editId="6215BA6C">
            <wp:simplePos x="0" y="0"/>
            <wp:positionH relativeFrom="margin">
              <wp:posOffset>729615</wp:posOffset>
            </wp:positionH>
            <wp:positionV relativeFrom="paragraph">
              <wp:posOffset>8255</wp:posOffset>
            </wp:positionV>
            <wp:extent cx="4169410" cy="2830292"/>
            <wp:effectExtent l="0" t="0" r="2540" b="825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69410" cy="2830292"/>
                    </a:xfrm>
                    <a:prstGeom prst="rect">
                      <a:avLst/>
                    </a:prstGeom>
                    <a:noFill/>
                  </pic:spPr>
                </pic:pic>
              </a:graphicData>
            </a:graphic>
            <wp14:sizeRelH relativeFrom="margin">
              <wp14:pctWidth>0</wp14:pctWidth>
            </wp14:sizeRelH>
            <wp14:sizeRelV relativeFrom="margin">
              <wp14:pctHeight>0</wp14:pctHeight>
            </wp14:sizeRelV>
          </wp:anchor>
        </w:drawing>
      </w:r>
    </w:p>
    <w:p w14:paraId="34CDBB23" w14:textId="10B7A8E4" w:rsidR="007D7046" w:rsidRDefault="007D7046" w:rsidP="00153122">
      <w:pPr>
        <w:tabs>
          <w:tab w:val="left" w:pos="3060"/>
          <w:tab w:val="left" w:pos="3450"/>
        </w:tabs>
        <w:spacing w:after="0" w:line="360" w:lineRule="auto"/>
        <w:rPr>
          <w:color w:val="231F20"/>
          <w:sz w:val="18"/>
          <w:szCs w:val="18"/>
        </w:rPr>
      </w:pPr>
    </w:p>
    <w:p w14:paraId="771B2107" w14:textId="77777777" w:rsidR="00950420" w:rsidRDefault="00950420" w:rsidP="00E9146B">
      <w:pPr>
        <w:spacing w:after="0" w:line="240" w:lineRule="auto"/>
        <w:rPr>
          <w:color w:val="231F20"/>
          <w:sz w:val="18"/>
          <w:szCs w:val="18"/>
        </w:rPr>
      </w:pPr>
    </w:p>
    <w:p w14:paraId="1E4610F5" w14:textId="77777777" w:rsidR="00950420" w:rsidRDefault="00950420" w:rsidP="00E9146B">
      <w:pPr>
        <w:spacing w:after="0" w:line="240" w:lineRule="auto"/>
        <w:rPr>
          <w:color w:val="231F20"/>
          <w:sz w:val="18"/>
          <w:szCs w:val="18"/>
        </w:rPr>
      </w:pPr>
    </w:p>
    <w:p w14:paraId="6816F1D3" w14:textId="77777777" w:rsidR="00950420" w:rsidRDefault="00950420" w:rsidP="00E9146B">
      <w:pPr>
        <w:spacing w:after="0" w:line="240" w:lineRule="auto"/>
        <w:rPr>
          <w:color w:val="231F20"/>
          <w:sz w:val="18"/>
          <w:szCs w:val="18"/>
        </w:rPr>
      </w:pPr>
    </w:p>
    <w:p w14:paraId="63DACDEB" w14:textId="77777777" w:rsidR="00950420" w:rsidRDefault="00950420" w:rsidP="00E9146B">
      <w:pPr>
        <w:spacing w:after="0" w:line="240" w:lineRule="auto"/>
        <w:rPr>
          <w:color w:val="231F20"/>
          <w:sz w:val="18"/>
          <w:szCs w:val="18"/>
        </w:rPr>
      </w:pPr>
    </w:p>
    <w:p w14:paraId="562F0863" w14:textId="77777777" w:rsidR="00950420" w:rsidRDefault="00950420" w:rsidP="00E9146B">
      <w:pPr>
        <w:spacing w:after="0" w:line="240" w:lineRule="auto"/>
        <w:rPr>
          <w:color w:val="231F20"/>
          <w:sz w:val="18"/>
          <w:szCs w:val="18"/>
        </w:rPr>
      </w:pPr>
    </w:p>
    <w:p w14:paraId="5CE10DFD" w14:textId="77777777" w:rsidR="00950420" w:rsidRDefault="00950420" w:rsidP="00E9146B">
      <w:pPr>
        <w:spacing w:after="0" w:line="240" w:lineRule="auto"/>
        <w:rPr>
          <w:color w:val="231F20"/>
          <w:sz w:val="18"/>
          <w:szCs w:val="18"/>
        </w:rPr>
      </w:pPr>
    </w:p>
    <w:p w14:paraId="45A8A0D1" w14:textId="77777777" w:rsidR="00950420" w:rsidRDefault="00950420" w:rsidP="00E9146B">
      <w:pPr>
        <w:spacing w:after="0" w:line="240" w:lineRule="auto"/>
        <w:rPr>
          <w:color w:val="231F20"/>
          <w:sz w:val="18"/>
          <w:szCs w:val="18"/>
        </w:rPr>
      </w:pPr>
    </w:p>
    <w:p w14:paraId="55E73AD6" w14:textId="77777777" w:rsidR="00950420" w:rsidRDefault="00950420" w:rsidP="00E9146B">
      <w:pPr>
        <w:spacing w:after="0" w:line="240" w:lineRule="auto"/>
        <w:rPr>
          <w:color w:val="231F20"/>
          <w:sz w:val="18"/>
          <w:szCs w:val="18"/>
        </w:rPr>
      </w:pPr>
    </w:p>
    <w:p w14:paraId="388F21F1" w14:textId="77777777" w:rsidR="00950420" w:rsidRDefault="00950420" w:rsidP="00E9146B">
      <w:pPr>
        <w:spacing w:after="0" w:line="240" w:lineRule="auto"/>
        <w:rPr>
          <w:color w:val="231F20"/>
          <w:sz w:val="18"/>
          <w:szCs w:val="18"/>
        </w:rPr>
      </w:pPr>
    </w:p>
    <w:p w14:paraId="74350D5E" w14:textId="77777777" w:rsidR="00950420" w:rsidRDefault="00950420" w:rsidP="00E9146B">
      <w:pPr>
        <w:spacing w:after="0" w:line="240" w:lineRule="auto"/>
        <w:rPr>
          <w:color w:val="231F20"/>
          <w:sz w:val="18"/>
          <w:szCs w:val="18"/>
        </w:rPr>
      </w:pPr>
    </w:p>
    <w:p w14:paraId="6490B517" w14:textId="77777777" w:rsidR="00950420" w:rsidRDefault="00950420" w:rsidP="00E9146B">
      <w:pPr>
        <w:spacing w:after="0" w:line="240" w:lineRule="auto"/>
        <w:rPr>
          <w:color w:val="231F20"/>
          <w:sz w:val="18"/>
          <w:szCs w:val="18"/>
        </w:rPr>
      </w:pPr>
    </w:p>
    <w:p w14:paraId="4F742536" w14:textId="77777777" w:rsidR="00950420" w:rsidRDefault="00950420" w:rsidP="00E9146B">
      <w:pPr>
        <w:spacing w:after="0" w:line="240" w:lineRule="auto"/>
        <w:rPr>
          <w:color w:val="231F20"/>
          <w:sz w:val="18"/>
          <w:szCs w:val="18"/>
        </w:rPr>
      </w:pPr>
    </w:p>
    <w:p w14:paraId="6851C2FF" w14:textId="77777777" w:rsidR="00950420" w:rsidRDefault="00950420" w:rsidP="00E9146B">
      <w:pPr>
        <w:spacing w:after="0" w:line="240" w:lineRule="auto"/>
        <w:rPr>
          <w:color w:val="231F20"/>
          <w:sz w:val="18"/>
          <w:szCs w:val="18"/>
        </w:rPr>
      </w:pPr>
    </w:p>
    <w:p w14:paraId="0DBE88CA" w14:textId="77777777" w:rsidR="00950420" w:rsidRDefault="00950420" w:rsidP="00E9146B">
      <w:pPr>
        <w:spacing w:after="0" w:line="240" w:lineRule="auto"/>
        <w:rPr>
          <w:color w:val="231F20"/>
          <w:sz w:val="18"/>
          <w:szCs w:val="18"/>
        </w:rPr>
      </w:pPr>
    </w:p>
    <w:p w14:paraId="69EBC689" w14:textId="77777777" w:rsidR="00950420" w:rsidRDefault="00950420" w:rsidP="00E9146B">
      <w:pPr>
        <w:spacing w:after="0" w:line="240" w:lineRule="auto"/>
        <w:rPr>
          <w:color w:val="231F20"/>
          <w:sz w:val="18"/>
          <w:szCs w:val="18"/>
        </w:rPr>
      </w:pPr>
    </w:p>
    <w:p w14:paraId="344C6287" w14:textId="77777777" w:rsidR="00950420" w:rsidRDefault="00950420" w:rsidP="00E9146B">
      <w:pPr>
        <w:spacing w:after="0" w:line="240" w:lineRule="auto"/>
        <w:rPr>
          <w:color w:val="231F20"/>
          <w:sz w:val="18"/>
          <w:szCs w:val="18"/>
        </w:rPr>
      </w:pPr>
    </w:p>
    <w:p w14:paraId="616281C2" w14:textId="77777777" w:rsidR="00950420" w:rsidRDefault="00950420" w:rsidP="00E9146B">
      <w:pPr>
        <w:spacing w:after="0" w:line="240" w:lineRule="auto"/>
        <w:rPr>
          <w:color w:val="231F20"/>
          <w:sz w:val="18"/>
          <w:szCs w:val="18"/>
        </w:rPr>
      </w:pPr>
    </w:p>
    <w:p w14:paraId="7FAF232C" w14:textId="5B017140" w:rsidR="00E9146B" w:rsidRPr="00387A2F" w:rsidRDefault="00E9146B" w:rsidP="00E9146B">
      <w:pPr>
        <w:spacing w:after="0" w:line="240" w:lineRule="auto"/>
        <w:rPr>
          <w:rFonts w:ascii="Calibri" w:eastAsia="Times New Roman" w:hAnsi="Calibri" w:cs="Times New Roman"/>
          <w:b/>
          <w:bCs/>
          <w:color w:val="000000"/>
          <w:sz w:val="18"/>
          <w:szCs w:val="18"/>
          <w:lang w:eastAsia="es-GT"/>
        </w:rPr>
      </w:pPr>
      <w:r w:rsidRPr="00387A2F">
        <w:rPr>
          <w:color w:val="231F20"/>
          <w:sz w:val="18"/>
          <w:szCs w:val="18"/>
        </w:rPr>
        <w:t xml:space="preserve">Fuente: Sistema de Contabilidad Integrada (SICOIN), </w:t>
      </w:r>
      <w:r>
        <w:rPr>
          <w:color w:val="231F20"/>
          <w:sz w:val="18"/>
          <w:szCs w:val="18"/>
        </w:rPr>
        <w:t>del 1 de enero al 30 de junio</w:t>
      </w:r>
      <w:r w:rsidRPr="00387A2F">
        <w:rPr>
          <w:color w:val="231F20"/>
          <w:sz w:val="18"/>
          <w:szCs w:val="18"/>
        </w:rPr>
        <w:t xml:space="preserve"> del 2021</w:t>
      </w:r>
    </w:p>
    <w:p w14:paraId="7346FB03" w14:textId="77777777" w:rsidR="00FA64DE" w:rsidRDefault="00FA64DE" w:rsidP="00281813">
      <w:pPr>
        <w:tabs>
          <w:tab w:val="left" w:pos="3060"/>
          <w:tab w:val="left" w:pos="3450"/>
        </w:tabs>
        <w:spacing w:after="0" w:line="360" w:lineRule="auto"/>
        <w:jc w:val="both"/>
      </w:pPr>
    </w:p>
    <w:p w14:paraId="4DFCF4F7" w14:textId="77777777" w:rsidR="00820273" w:rsidRDefault="00820273">
      <w:r>
        <w:br w:type="page"/>
      </w:r>
    </w:p>
    <w:p w14:paraId="4C6D6DCB" w14:textId="7605F4C5" w:rsidR="0080734D" w:rsidRPr="006746FA" w:rsidRDefault="003C264F" w:rsidP="006746FA">
      <w:pPr>
        <w:tabs>
          <w:tab w:val="left" w:pos="3060"/>
          <w:tab w:val="left" w:pos="3450"/>
        </w:tabs>
        <w:spacing w:after="0" w:line="360" w:lineRule="auto"/>
        <w:jc w:val="both"/>
      </w:pPr>
      <w:r>
        <w:lastRenderedPageBreak/>
        <w:t>L</w:t>
      </w:r>
      <w:r w:rsidR="00820273">
        <w:t>a Tabla No. 21 muestra l</w:t>
      </w:r>
      <w:r>
        <w:t xml:space="preserve">os ejes de la PNPDIM que obtuvieron mayor vinculación presupuestaria </w:t>
      </w:r>
      <w:r w:rsidR="00281813">
        <w:t xml:space="preserve">a nivel territorial </w:t>
      </w:r>
      <w:r w:rsidR="00820273">
        <w:t xml:space="preserve">los que </w:t>
      </w:r>
      <w:r w:rsidR="00281813">
        <w:t>correspondieron a Salud, Económico y Recursos Naturales, Tierra y Vivienda y el eje de Violencia Contra las Mujeres.</w:t>
      </w:r>
      <w:r w:rsidR="006746FA">
        <w:t xml:space="preserve"> En ejecución</w:t>
      </w:r>
      <w:r w:rsidR="007818B8">
        <w:t xml:space="preserve"> los gobiernos locales ejecutaron e</w:t>
      </w:r>
      <w:r w:rsidR="00C90E36">
        <w:t>l</w:t>
      </w:r>
      <w:r w:rsidR="007818B8">
        <w:t xml:space="preserve"> mayor presupuesto en los ejes de Salud, Económico y Recursos Naturales, igualmente. </w:t>
      </w:r>
    </w:p>
    <w:p w14:paraId="28B75056" w14:textId="20753B37" w:rsidR="00B75E1D" w:rsidRPr="00073CA5" w:rsidRDefault="00B75E1D" w:rsidP="00073CA5">
      <w:pPr>
        <w:pStyle w:val="Tabla"/>
        <w:jc w:val="center"/>
        <w:rPr>
          <w:b/>
          <w:bCs/>
        </w:rPr>
      </w:pPr>
      <w:r w:rsidRPr="00073CA5">
        <w:rPr>
          <w:b/>
          <w:bCs/>
        </w:rPr>
        <w:t xml:space="preserve">Tabla </w:t>
      </w:r>
      <w:r w:rsidR="002A015D">
        <w:rPr>
          <w:b/>
          <w:bCs/>
        </w:rPr>
        <w:t>2</w:t>
      </w:r>
      <w:r w:rsidR="00073CA5" w:rsidRPr="00073CA5">
        <w:rPr>
          <w:b/>
          <w:bCs/>
        </w:rPr>
        <w:t>1</w:t>
      </w:r>
    </w:p>
    <w:p w14:paraId="3EB32DB8" w14:textId="34F10A33" w:rsidR="0033231F" w:rsidRPr="00337B99" w:rsidRDefault="0033231F" w:rsidP="0033231F">
      <w:pPr>
        <w:spacing w:after="0" w:line="240" w:lineRule="auto"/>
        <w:jc w:val="center"/>
        <w:rPr>
          <w:rFonts w:ascii="Calibri" w:eastAsia="Times New Roman" w:hAnsi="Calibri" w:cs="Times New Roman"/>
          <w:b/>
          <w:bCs/>
          <w:color w:val="000000"/>
          <w:lang w:eastAsia="es-GT"/>
        </w:rPr>
      </w:pPr>
      <w:r w:rsidRPr="00337B99">
        <w:rPr>
          <w:rFonts w:ascii="Calibri" w:eastAsia="Times New Roman" w:hAnsi="Calibri" w:cs="Times New Roman"/>
          <w:b/>
          <w:bCs/>
          <w:color w:val="000000"/>
          <w:lang w:eastAsia="es-GT"/>
        </w:rPr>
        <w:t xml:space="preserve">Presupuesto Vinculado al CPEG </w:t>
      </w:r>
      <w:r w:rsidRPr="00477454">
        <w:rPr>
          <w:b/>
          <w:bCs/>
        </w:rPr>
        <w:t xml:space="preserve">por Eje de PNPDIM </w:t>
      </w:r>
      <w:r w:rsidRPr="00337B99">
        <w:rPr>
          <w:rFonts w:ascii="Calibri" w:eastAsia="Times New Roman" w:hAnsi="Calibri" w:cs="Times New Roman"/>
          <w:b/>
          <w:bCs/>
          <w:color w:val="000000"/>
          <w:lang w:eastAsia="es-GT"/>
        </w:rPr>
        <w:t>en el Primer Semestre 2021</w:t>
      </w:r>
    </w:p>
    <w:p w14:paraId="597A2A3C" w14:textId="6A5260DE" w:rsidR="0033231F" w:rsidRPr="00B13030" w:rsidRDefault="0033231F" w:rsidP="00B13030">
      <w:pPr>
        <w:spacing w:after="0" w:line="240" w:lineRule="auto"/>
        <w:jc w:val="center"/>
        <w:rPr>
          <w:rFonts w:ascii="Calibri" w:eastAsia="Times New Roman" w:hAnsi="Calibri" w:cs="Times New Roman"/>
          <w:b/>
          <w:bCs/>
          <w:color w:val="000000"/>
          <w:lang w:eastAsia="es-GT"/>
        </w:rPr>
      </w:pPr>
      <w:r>
        <w:rPr>
          <w:rFonts w:ascii="Calibri" w:eastAsia="Times New Roman" w:hAnsi="Calibri" w:cs="Times New Roman"/>
          <w:b/>
          <w:bCs/>
          <w:color w:val="000000"/>
          <w:lang w:eastAsia="es-GT"/>
        </w:rPr>
        <w:t>Gobiernos Locales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2"/>
        <w:gridCol w:w="1685"/>
        <w:gridCol w:w="1685"/>
        <w:gridCol w:w="1543"/>
      </w:tblGrid>
      <w:tr w:rsidR="00963B72" w:rsidRPr="00963B72" w14:paraId="444CEB14" w14:textId="77777777" w:rsidTr="00C0281B">
        <w:trPr>
          <w:trHeight w:val="540"/>
          <w:tblHeader/>
          <w:jc w:val="center"/>
        </w:trPr>
        <w:tc>
          <w:tcPr>
            <w:tcW w:w="0" w:type="auto"/>
            <w:shd w:val="clear" w:color="000000" w:fill="000066"/>
            <w:noWrap/>
            <w:vAlign w:val="center"/>
            <w:hideMark/>
          </w:tcPr>
          <w:p w14:paraId="48AB26FD" w14:textId="77777777" w:rsidR="00963B72" w:rsidRPr="00963B72" w:rsidRDefault="00963B72" w:rsidP="00D17FA1">
            <w:pPr>
              <w:spacing w:after="0" w:line="240" w:lineRule="auto"/>
              <w:jc w:val="center"/>
              <w:rPr>
                <w:rFonts w:ascii="Calibri" w:eastAsia="Times New Roman" w:hAnsi="Calibri" w:cs="Times New Roman"/>
                <w:color w:val="FFFFFF"/>
                <w:lang w:eastAsia="es-GT"/>
              </w:rPr>
            </w:pPr>
            <w:r w:rsidRPr="00963B72">
              <w:rPr>
                <w:rFonts w:ascii="Calibri" w:eastAsia="Times New Roman" w:hAnsi="Calibri" w:cs="Times New Roman"/>
                <w:color w:val="FFFFFF"/>
                <w:lang w:eastAsia="es-GT"/>
              </w:rPr>
              <w:t>Ejes de la Política</w:t>
            </w:r>
          </w:p>
        </w:tc>
        <w:tc>
          <w:tcPr>
            <w:tcW w:w="0" w:type="auto"/>
            <w:shd w:val="clear" w:color="000000" w:fill="000066"/>
            <w:noWrap/>
            <w:vAlign w:val="center"/>
            <w:hideMark/>
          </w:tcPr>
          <w:p w14:paraId="6903A00F" w14:textId="77777777" w:rsidR="00963B72" w:rsidRPr="00963B72" w:rsidRDefault="00963B72" w:rsidP="00D17FA1">
            <w:pPr>
              <w:spacing w:after="0" w:line="240" w:lineRule="auto"/>
              <w:jc w:val="center"/>
              <w:rPr>
                <w:rFonts w:ascii="Calibri" w:eastAsia="Times New Roman" w:hAnsi="Calibri" w:cs="Times New Roman"/>
                <w:color w:val="FFFFFF"/>
                <w:lang w:eastAsia="es-GT"/>
              </w:rPr>
            </w:pPr>
            <w:r w:rsidRPr="00963B72">
              <w:rPr>
                <w:rFonts w:ascii="Calibri" w:eastAsia="Times New Roman" w:hAnsi="Calibri" w:cs="Times New Roman"/>
                <w:color w:val="FFFFFF"/>
                <w:lang w:eastAsia="es-GT"/>
              </w:rPr>
              <w:t>Asignado</w:t>
            </w:r>
          </w:p>
        </w:tc>
        <w:tc>
          <w:tcPr>
            <w:tcW w:w="0" w:type="auto"/>
            <w:shd w:val="clear" w:color="000000" w:fill="000066"/>
            <w:noWrap/>
            <w:vAlign w:val="center"/>
            <w:hideMark/>
          </w:tcPr>
          <w:p w14:paraId="4B204BB8" w14:textId="77777777" w:rsidR="00963B72" w:rsidRPr="00963B72" w:rsidRDefault="00963B72" w:rsidP="00D17FA1">
            <w:pPr>
              <w:spacing w:after="0" w:line="240" w:lineRule="auto"/>
              <w:jc w:val="center"/>
              <w:rPr>
                <w:rFonts w:ascii="Calibri" w:eastAsia="Times New Roman" w:hAnsi="Calibri" w:cs="Times New Roman"/>
                <w:color w:val="FFFFFF"/>
                <w:lang w:eastAsia="es-GT"/>
              </w:rPr>
            </w:pPr>
            <w:r w:rsidRPr="00963B72">
              <w:rPr>
                <w:rFonts w:ascii="Calibri" w:eastAsia="Times New Roman" w:hAnsi="Calibri" w:cs="Times New Roman"/>
                <w:color w:val="FFFFFF"/>
                <w:lang w:eastAsia="es-GT"/>
              </w:rPr>
              <w:t>Vigente</w:t>
            </w:r>
          </w:p>
        </w:tc>
        <w:tc>
          <w:tcPr>
            <w:tcW w:w="0" w:type="auto"/>
            <w:shd w:val="clear" w:color="000000" w:fill="000066"/>
            <w:noWrap/>
            <w:vAlign w:val="center"/>
            <w:hideMark/>
          </w:tcPr>
          <w:p w14:paraId="3105BDBE" w14:textId="77777777" w:rsidR="00963B72" w:rsidRPr="00963B72" w:rsidRDefault="00963B72" w:rsidP="00D17FA1">
            <w:pPr>
              <w:spacing w:after="0" w:line="240" w:lineRule="auto"/>
              <w:jc w:val="center"/>
              <w:rPr>
                <w:rFonts w:ascii="Calibri" w:eastAsia="Times New Roman" w:hAnsi="Calibri" w:cs="Times New Roman"/>
                <w:color w:val="FFFFFF"/>
                <w:lang w:eastAsia="es-GT"/>
              </w:rPr>
            </w:pPr>
            <w:r w:rsidRPr="00963B72">
              <w:rPr>
                <w:rFonts w:ascii="Calibri" w:eastAsia="Times New Roman" w:hAnsi="Calibri" w:cs="Times New Roman"/>
                <w:color w:val="FFFFFF"/>
                <w:lang w:eastAsia="es-GT"/>
              </w:rPr>
              <w:t>Ejecutado</w:t>
            </w:r>
          </w:p>
        </w:tc>
      </w:tr>
      <w:tr w:rsidR="00963B72" w:rsidRPr="00963B72" w14:paraId="1552E190" w14:textId="77777777" w:rsidTr="00C0281B">
        <w:trPr>
          <w:trHeight w:val="300"/>
          <w:jc w:val="center"/>
        </w:trPr>
        <w:tc>
          <w:tcPr>
            <w:tcW w:w="0" w:type="auto"/>
            <w:shd w:val="clear" w:color="000000" w:fill="DDEBF7"/>
            <w:noWrap/>
            <w:vAlign w:val="center"/>
            <w:hideMark/>
          </w:tcPr>
          <w:p w14:paraId="55E33BED" w14:textId="77777777" w:rsidR="00963B72" w:rsidRPr="00950420" w:rsidRDefault="00963B72" w:rsidP="00D17FA1">
            <w:pPr>
              <w:spacing w:after="0" w:line="240" w:lineRule="auto"/>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1. Económico</w:t>
            </w:r>
          </w:p>
        </w:tc>
        <w:tc>
          <w:tcPr>
            <w:tcW w:w="0" w:type="auto"/>
            <w:shd w:val="clear" w:color="000000" w:fill="DDEBF7"/>
            <w:noWrap/>
            <w:vAlign w:val="center"/>
            <w:hideMark/>
          </w:tcPr>
          <w:p w14:paraId="097ECEE3"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187,539,983.26 </w:t>
            </w:r>
          </w:p>
        </w:tc>
        <w:tc>
          <w:tcPr>
            <w:tcW w:w="0" w:type="auto"/>
            <w:shd w:val="clear" w:color="000000" w:fill="DDEBF7"/>
            <w:noWrap/>
            <w:vAlign w:val="center"/>
            <w:hideMark/>
          </w:tcPr>
          <w:p w14:paraId="60D3A17F"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310,340,803.06 </w:t>
            </w:r>
          </w:p>
        </w:tc>
        <w:tc>
          <w:tcPr>
            <w:tcW w:w="0" w:type="auto"/>
            <w:shd w:val="clear" w:color="000000" w:fill="DDEBF7"/>
            <w:noWrap/>
            <w:vAlign w:val="center"/>
            <w:hideMark/>
          </w:tcPr>
          <w:p w14:paraId="31E76678" w14:textId="43A2EE33"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w:t>
            </w:r>
            <w:r w:rsidR="000A635F" w:rsidRPr="00950420">
              <w:rPr>
                <w:rFonts w:ascii="Calibri" w:eastAsia="Times New Roman" w:hAnsi="Calibri" w:cs="Times New Roman"/>
                <w:color w:val="000000"/>
                <w:sz w:val="18"/>
                <w:lang w:eastAsia="es-GT"/>
              </w:rPr>
              <w:t>Q 139,243,246.72</w:t>
            </w:r>
            <w:r w:rsidRPr="00950420">
              <w:rPr>
                <w:rFonts w:ascii="Calibri" w:eastAsia="Times New Roman" w:hAnsi="Calibri" w:cs="Times New Roman"/>
                <w:color w:val="000000"/>
                <w:sz w:val="18"/>
                <w:lang w:eastAsia="es-GT"/>
              </w:rPr>
              <w:t xml:space="preserve"> </w:t>
            </w:r>
          </w:p>
        </w:tc>
      </w:tr>
      <w:tr w:rsidR="00963B72" w:rsidRPr="00963B72" w14:paraId="2C937E1B" w14:textId="77777777" w:rsidTr="00C0281B">
        <w:trPr>
          <w:trHeight w:val="300"/>
          <w:jc w:val="center"/>
        </w:trPr>
        <w:tc>
          <w:tcPr>
            <w:tcW w:w="0" w:type="auto"/>
            <w:shd w:val="clear" w:color="000000" w:fill="DDEBF7"/>
            <w:noWrap/>
            <w:vAlign w:val="center"/>
            <w:hideMark/>
          </w:tcPr>
          <w:p w14:paraId="27A40E3B" w14:textId="77777777" w:rsidR="00963B72" w:rsidRPr="00950420" w:rsidRDefault="00963B72" w:rsidP="00D17FA1">
            <w:pPr>
              <w:spacing w:after="0" w:line="240" w:lineRule="auto"/>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2. Recursos Naturales, Tierra y Vivienda</w:t>
            </w:r>
          </w:p>
        </w:tc>
        <w:tc>
          <w:tcPr>
            <w:tcW w:w="0" w:type="auto"/>
            <w:shd w:val="clear" w:color="000000" w:fill="DDEBF7"/>
            <w:noWrap/>
            <w:vAlign w:val="center"/>
            <w:hideMark/>
          </w:tcPr>
          <w:p w14:paraId="5BC2BAC2"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186,870,986.70 </w:t>
            </w:r>
          </w:p>
        </w:tc>
        <w:tc>
          <w:tcPr>
            <w:tcW w:w="0" w:type="auto"/>
            <w:shd w:val="clear" w:color="000000" w:fill="DDEBF7"/>
            <w:noWrap/>
            <w:vAlign w:val="center"/>
            <w:hideMark/>
          </w:tcPr>
          <w:p w14:paraId="58838FB3"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192,134,726.47 </w:t>
            </w:r>
          </w:p>
        </w:tc>
        <w:tc>
          <w:tcPr>
            <w:tcW w:w="0" w:type="auto"/>
            <w:shd w:val="clear" w:color="000000" w:fill="DDEBF7"/>
            <w:noWrap/>
            <w:vAlign w:val="center"/>
            <w:hideMark/>
          </w:tcPr>
          <w:p w14:paraId="4A2C9D18"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63,522,765.38 </w:t>
            </w:r>
          </w:p>
        </w:tc>
      </w:tr>
      <w:tr w:rsidR="00963B72" w:rsidRPr="00963B72" w14:paraId="58693F36" w14:textId="77777777" w:rsidTr="00C0281B">
        <w:trPr>
          <w:trHeight w:val="300"/>
          <w:jc w:val="center"/>
        </w:trPr>
        <w:tc>
          <w:tcPr>
            <w:tcW w:w="0" w:type="auto"/>
            <w:shd w:val="clear" w:color="000000" w:fill="DDEBF7"/>
            <w:noWrap/>
            <w:vAlign w:val="center"/>
            <w:hideMark/>
          </w:tcPr>
          <w:p w14:paraId="3159AA3A" w14:textId="77777777" w:rsidR="00963B72" w:rsidRPr="00950420" w:rsidRDefault="00963B72" w:rsidP="00D17FA1">
            <w:pPr>
              <w:spacing w:after="0" w:line="240" w:lineRule="auto"/>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3. Educación</w:t>
            </w:r>
          </w:p>
        </w:tc>
        <w:tc>
          <w:tcPr>
            <w:tcW w:w="0" w:type="auto"/>
            <w:shd w:val="clear" w:color="000000" w:fill="DDEBF7"/>
            <w:noWrap/>
            <w:vAlign w:val="center"/>
            <w:hideMark/>
          </w:tcPr>
          <w:p w14:paraId="57E4336F"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72,304,603.43 </w:t>
            </w:r>
          </w:p>
        </w:tc>
        <w:tc>
          <w:tcPr>
            <w:tcW w:w="0" w:type="auto"/>
            <w:shd w:val="clear" w:color="000000" w:fill="DDEBF7"/>
            <w:noWrap/>
            <w:vAlign w:val="center"/>
            <w:hideMark/>
          </w:tcPr>
          <w:p w14:paraId="68960449"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166,470,293.82 </w:t>
            </w:r>
          </w:p>
        </w:tc>
        <w:tc>
          <w:tcPr>
            <w:tcW w:w="0" w:type="auto"/>
            <w:shd w:val="clear" w:color="000000" w:fill="DDEBF7"/>
            <w:noWrap/>
            <w:vAlign w:val="center"/>
            <w:hideMark/>
          </w:tcPr>
          <w:p w14:paraId="5E2F51FD"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51,994,387.48 </w:t>
            </w:r>
          </w:p>
        </w:tc>
      </w:tr>
      <w:tr w:rsidR="00963B72" w:rsidRPr="00963B72" w14:paraId="6E2387B2" w14:textId="77777777" w:rsidTr="00C0281B">
        <w:trPr>
          <w:trHeight w:val="300"/>
          <w:jc w:val="center"/>
        </w:trPr>
        <w:tc>
          <w:tcPr>
            <w:tcW w:w="0" w:type="auto"/>
            <w:shd w:val="clear" w:color="000000" w:fill="DDEBF7"/>
            <w:noWrap/>
            <w:vAlign w:val="center"/>
            <w:hideMark/>
          </w:tcPr>
          <w:p w14:paraId="58AACE76" w14:textId="77777777" w:rsidR="00963B72" w:rsidRPr="00950420" w:rsidRDefault="00963B72" w:rsidP="00D17FA1">
            <w:pPr>
              <w:spacing w:after="0" w:line="240" w:lineRule="auto"/>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4. Salud</w:t>
            </w:r>
          </w:p>
        </w:tc>
        <w:tc>
          <w:tcPr>
            <w:tcW w:w="0" w:type="auto"/>
            <w:shd w:val="clear" w:color="000000" w:fill="DDEBF7"/>
            <w:noWrap/>
            <w:vAlign w:val="center"/>
            <w:hideMark/>
          </w:tcPr>
          <w:p w14:paraId="2BBF6886"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359,104,605.64 </w:t>
            </w:r>
          </w:p>
        </w:tc>
        <w:tc>
          <w:tcPr>
            <w:tcW w:w="0" w:type="auto"/>
            <w:shd w:val="clear" w:color="000000" w:fill="DDEBF7"/>
            <w:noWrap/>
            <w:vAlign w:val="center"/>
            <w:hideMark/>
          </w:tcPr>
          <w:p w14:paraId="6919A67B"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587,401,008.07 </w:t>
            </w:r>
          </w:p>
        </w:tc>
        <w:tc>
          <w:tcPr>
            <w:tcW w:w="0" w:type="auto"/>
            <w:shd w:val="clear" w:color="000000" w:fill="DDEBF7"/>
            <w:noWrap/>
            <w:vAlign w:val="center"/>
            <w:hideMark/>
          </w:tcPr>
          <w:p w14:paraId="1814B9AB" w14:textId="1CA4031C"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w:t>
            </w:r>
            <w:r w:rsidR="000A635F" w:rsidRPr="00950420">
              <w:rPr>
                <w:rFonts w:ascii="Calibri" w:eastAsia="Times New Roman" w:hAnsi="Calibri" w:cs="Times New Roman"/>
                <w:color w:val="000000"/>
                <w:sz w:val="18"/>
                <w:lang w:eastAsia="es-GT"/>
              </w:rPr>
              <w:t>Q 220,852,745.02</w:t>
            </w:r>
            <w:r w:rsidRPr="00950420">
              <w:rPr>
                <w:rFonts w:ascii="Calibri" w:eastAsia="Times New Roman" w:hAnsi="Calibri" w:cs="Times New Roman"/>
                <w:color w:val="000000"/>
                <w:sz w:val="18"/>
                <w:lang w:eastAsia="es-GT"/>
              </w:rPr>
              <w:t xml:space="preserve"> </w:t>
            </w:r>
          </w:p>
        </w:tc>
      </w:tr>
      <w:tr w:rsidR="00963B72" w:rsidRPr="00963B72" w14:paraId="3F5D442E" w14:textId="77777777" w:rsidTr="00C0281B">
        <w:trPr>
          <w:trHeight w:val="300"/>
          <w:jc w:val="center"/>
        </w:trPr>
        <w:tc>
          <w:tcPr>
            <w:tcW w:w="0" w:type="auto"/>
            <w:shd w:val="clear" w:color="000000" w:fill="DDEBF7"/>
            <w:noWrap/>
            <w:vAlign w:val="center"/>
            <w:hideMark/>
          </w:tcPr>
          <w:p w14:paraId="6419A8CE" w14:textId="77777777" w:rsidR="00963B72" w:rsidRPr="00950420" w:rsidRDefault="00963B72" w:rsidP="00D17FA1">
            <w:pPr>
              <w:spacing w:after="0" w:line="240" w:lineRule="auto"/>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5. Violencia Contra las Mujeres</w:t>
            </w:r>
          </w:p>
        </w:tc>
        <w:tc>
          <w:tcPr>
            <w:tcW w:w="0" w:type="auto"/>
            <w:shd w:val="clear" w:color="000000" w:fill="DDEBF7"/>
            <w:noWrap/>
            <w:vAlign w:val="center"/>
            <w:hideMark/>
          </w:tcPr>
          <w:p w14:paraId="476DCB77"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98,102,477.23 </w:t>
            </w:r>
          </w:p>
        </w:tc>
        <w:tc>
          <w:tcPr>
            <w:tcW w:w="0" w:type="auto"/>
            <w:shd w:val="clear" w:color="000000" w:fill="DDEBF7"/>
            <w:noWrap/>
            <w:vAlign w:val="center"/>
            <w:hideMark/>
          </w:tcPr>
          <w:p w14:paraId="5A236BE5"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115,785,784.27 </w:t>
            </w:r>
          </w:p>
        </w:tc>
        <w:tc>
          <w:tcPr>
            <w:tcW w:w="0" w:type="auto"/>
            <w:shd w:val="clear" w:color="000000" w:fill="DDEBF7"/>
            <w:noWrap/>
            <w:vAlign w:val="center"/>
            <w:hideMark/>
          </w:tcPr>
          <w:p w14:paraId="1BEF1DF7"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47,593,298.80 </w:t>
            </w:r>
          </w:p>
        </w:tc>
      </w:tr>
      <w:tr w:rsidR="00963B72" w:rsidRPr="00963B72" w14:paraId="7495FFE4" w14:textId="77777777" w:rsidTr="00C0281B">
        <w:trPr>
          <w:trHeight w:val="300"/>
          <w:jc w:val="center"/>
        </w:trPr>
        <w:tc>
          <w:tcPr>
            <w:tcW w:w="0" w:type="auto"/>
            <w:shd w:val="clear" w:color="000000" w:fill="DDEBF7"/>
            <w:noWrap/>
            <w:vAlign w:val="center"/>
            <w:hideMark/>
          </w:tcPr>
          <w:p w14:paraId="780D5C12" w14:textId="77777777" w:rsidR="00963B72" w:rsidRPr="00950420" w:rsidRDefault="00963B72" w:rsidP="00D17FA1">
            <w:pPr>
              <w:spacing w:after="0" w:line="240" w:lineRule="auto"/>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6. Equidad Jurídica</w:t>
            </w:r>
          </w:p>
        </w:tc>
        <w:tc>
          <w:tcPr>
            <w:tcW w:w="0" w:type="auto"/>
            <w:shd w:val="clear" w:color="000000" w:fill="DDEBF7"/>
            <w:noWrap/>
            <w:vAlign w:val="center"/>
            <w:hideMark/>
          </w:tcPr>
          <w:p w14:paraId="339203B1"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5,821,290.84 </w:t>
            </w:r>
          </w:p>
        </w:tc>
        <w:tc>
          <w:tcPr>
            <w:tcW w:w="0" w:type="auto"/>
            <w:shd w:val="clear" w:color="000000" w:fill="DDEBF7"/>
            <w:noWrap/>
            <w:vAlign w:val="center"/>
            <w:hideMark/>
          </w:tcPr>
          <w:p w14:paraId="03A47F89"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6,201,106.20 </w:t>
            </w:r>
          </w:p>
        </w:tc>
        <w:tc>
          <w:tcPr>
            <w:tcW w:w="0" w:type="auto"/>
            <w:shd w:val="clear" w:color="000000" w:fill="DDEBF7"/>
            <w:noWrap/>
            <w:vAlign w:val="center"/>
            <w:hideMark/>
          </w:tcPr>
          <w:p w14:paraId="58BD6344"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1,912,281.64 </w:t>
            </w:r>
          </w:p>
        </w:tc>
      </w:tr>
      <w:tr w:rsidR="00963B72" w:rsidRPr="00963B72" w14:paraId="140DCDC1" w14:textId="77777777" w:rsidTr="00C0281B">
        <w:trPr>
          <w:trHeight w:val="300"/>
          <w:jc w:val="center"/>
        </w:trPr>
        <w:tc>
          <w:tcPr>
            <w:tcW w:w="0" w:type="auto"/>
            <w:shd w:val="clear" w:color="000000" w:fill="DDEBF7"/>
            <w:noWrap/>
            <w:vAlign w:val="center"/>
            <w:hideMark/>
          </w:tcPr>
          <w:p w14:paraId="3986C604" w14:textId="77777777" w:rsidR="00963B72" w:rsidRPr="00950420" w:rsidRDefault="00963B72" w:rsidP="00D17FA1">
            <w:pPr>
              <w:spacing w:after="0" w:line="240" w:lineRule="auto"/>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7. Racismo y Discriminación</w:t>
            </w:r>
          </w:p>
        </w:tc>
        <w:tc>
          <w:tcPr>
            <w:tcW w:w="0" w:type="auto"/>
            <w:shd w:val="clear" w:color="000000" w:fill="DDEBF7"/>
            <w:noWrap/>
            <w:vAlign w:val="center"/>
            <w:hideMark/>
          </w:tcPr>
          <w:p w14:paraId="0267486C"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17,286,687.17 </w:t>
            </w:r>
          </w:p>
        </w:tc>
        <w:tc>
          <w:tcPr>
            <w:tcW w:w="0" w:type="auto"/>
            <w:shd w:val="clear" w:color="000000" w:fill="DDEBF7"/>
            <w:noWrap/>
            <w:vAlign w:val="center"/>
            <w:hideMark/>
          </w:tcPr>
          <w:p w14:paraId="4F51F6DA"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30,015,938.97 </w:t>
            </w:r>
          </w:p>
        </w:tc>
        <w:tc>
          <w:tcPr>
            <w:tcW w:w="0" w:type="auto"/>
            <w:shd w:val="clear" w:color="000000" w:fill="DDEBF7"/>
            <w:noWrap/>
            <w:vAlign w:val="center"/>
            <w:hideMark/>
          </w:tcPr>
          <w:p w14:paraId="1677FC11"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13,363,091.41 </w:t>
            </w:r>
          </w:p>
        </w:tc>
      </w:tr>
      <w:tr w:rsidR="00963B72" w:rsidRPr="00963B72" w14:paraId="3BA7DDE2" w14:textId="77777777" w:rsidTr="00C0281B">
        <w:trPr>
          <w:trHeight w:val="300"/>
          <w:jc w:val="center"/>
        </w:trPr>
        <w:tc>
          <w:tcPr>
            <w:tcW w:w="0" w:type="auto"/>
            <w:shd w:val="clear" w:color="000000" w:fill="DDEBF7"/>
            <w:noWrap/>
            <w:vAlign w:val="center"/>
            <w:hideMark/>
          </w:tcPr>
          <w:p w14:paraId="709B13B7" w14:textId="77777777" w:rsidR="00963B72" w:rsidRPr="00950420" w:rsidRDefault="00963B72" w:rsidP="00D17FA1">
            <w:pPr>
              <w:spacing w:after="0" w:line="240" w:lineRule="auto"/>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8. Desarrollo Cultural</w:t>
            </w:r>
          </w:p>
        </w:tc>
        <w:tc>
          <w:tcPr>
            <w:tcW w:w="0" w:type="auto"/>
            <w:shd w:val="clear" w:color="000000" w:fill="DDEBF7"/>
            <w:noWrap/>
            <w:vAlign w:val="center"/>
            <w:hideMark/>
          </w:tcPr>
          <w:p w14:paraId="085052F0"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61,691,723.45 </w:t>
            </w:r>
          </w:p>
        </w:tc>
        <w:tc>
          <w:tcPr>
            <w:tcW w:w="0" w:type="auto"/>
            <w:shd w:val="clear" w:color="000000" w:fill="DDEBF7"/>
            <w:noWrap/>
            <w:vAlign w:val="center"/>
            <w:hideMark/>
          </w:tcPr>
          <w:p w14:paraId="0C8A739E"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64,254,672.90 </w:t>
            </w:r>
          </w:p>
        </w:tc>
        <w:tc>
          <w:tcPr>
            <w:tcW w:w="0" w:type="auto"/>
            <w:shd w:val="clear" w:color="000000" w:fill="DDEBF7"/>
            <w:noWrap/>
            <w:vAlign w:val="center"/>
            <w:hideMark/>
          </w:tcPr>
          <w:p w14:paraId="3682313E"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28,190,296.07 </w:t>
            </w:r>
          </w:p>
        </w:tc>
      </w:tr>
      <w:tr w:rsidR="00963B72" w:rsidRPr="00963B72" w14:paraId="0F70C06E" w14:textId="77777777" w:rsidTr="00C0281B">
        <w:trPr>
          <w:trHeight w:val="300"/>
          <w:jc w:val="center"/>
        </w:trPr>
        <w:tc>
          <w:tcPr>
            <w:tcW w:w="0" w:type="auto"/>
            <w:shd w:val="clear" w:color="000000" w:fill="DDEBF7"/>
            <w:noWrap/>
            <w:vAlign w:val="center"/>
            <w:hideMark/>
          </w:tcPr>
          <w:p w14:paraId="31F7F015" w14:textId="77777777" w:rsidR="00963B72" w:rsidRPr="00950420" w:rsidRDefault="00963B72" w:rsidP="00D17FA1">
            <w:pPr>
              <w:spacing w:after="0" w:line="240" w:lineRule="auto"/>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9. Equidad Laboral</w:t>
            </w:r>
          </w:p>
        </w:tc>
        <w:tc>
          <w:tcPr>
            <w:tcW w:w="0" w:type="auto"/>
            <w:shd w:val="clear" w:color="000000" w:fill="DDEBF7"/>
            <w:noWrap/>
            <w:vAlign w:val="center"/>
            <w:hideMark/>
          </w:tcPr>
          <w:p w14:paraId="0FC22C53"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18,180,503.09 </w:t>
            </w:r>
          </w:p>
        </w:tc>
        <w:tc>
          <w:tcPr>
            <w:tcW w:w="0" w:type="auto"/>
            <w:shd w:val="clear" w:color="000000" w:fill="DDEBF7"/>
            <w:noWrap/>
            <w:vAlign w:val="center"/>
            <w:hideMark/>
          </w:tcPr>
          <w:p w14:paraId="272B25B3"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20,675,962.49 </w:t>
            </w:r>
          </w:p>
        </w:tc>
        <w:tc>
          <w:tcPr>
            <w:tcW w:w="0" w:type="auto"/>
            <w:shd w:val="clear" w:color="000000" w:fill="DDEBF7"/>
            <w:noWrap/>
            <w:vAlign w:val="center"/>
            <w:hideMark/>
          </w:tcPr>
          <w:p w14:paraId="3D520AAF"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5,469,556.81 </w:t>
            </w:r>
          </w:p>
        </w:tc>
      </w:tr>
      <w:tr w:rsidR="00963B72" w:rsidRPr="00963B72" w14:paraId="38B22B63" w14:textId="77777777" w:rsidTr="00C0281B">
        <w:trPr>
          <w:trHeight w:val="300"/>
          <w:jc w:val="center"/>
        </w:trPr>
        <w:tc>
          <w:tcPr>
            <w:tcW w:w="0" w:type="auto"/>
            <w:shd w:val="clear" w:color="000000" w:fill="DDEBF7"/>
            <w:noWrap/>
            <w:vAlign w:val="center"/>
            <w:hideMark/>
          </w:tcPr>
          <w:p w14:paraId="7393022A" w14:textId="77777777" w:rsidR="00963B72" w:rsidRPr="00950420" w:rsidRDefault="00963B72" w:rsidP="00D17FA1">
            <w:pPr>
              <w:spacing w:after="0" w:line="240" w:lineRule="auto"/>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10. Mecanismos Institucionales</w:t>
            </w:r>
          </w:p>
        </w:tc>
        <w:tc>
          <w:tcPr>
            <w:tcW w:w="0" w:type="auto"/>
            <w:shd w:val="clear" w:color="000000" w:fill="DDEBF7"/>
            <w:noWrap/>
            <w:vAlign w:val="center"/>
            <w:hideMark/>
          </w:tcPr>
          <w:p w14:paraId="69C70D07"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112,633,688.38 </w:t>
            </w:r>
          </w:p>
        </w:tc>
        <w:tc>
          <w:tcPr>
            <w:tcW w:w="0" w:type="auto"/>
            <w:shd w:val="clear" w:color="000000" w:fill="DDEBF7"/>
            <w:noWrap/>
            <w:vAlign w:val="center"/>
            <w:hideMark/>
          </w:tcPr>
          <w:p w14:paraId="144BA47B"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143,290,479.75 </w:t>
            </w:r>
          </w:p>
        </w:tc>
        <w:tc>
          <w:tcPr>
            <w:tcW w:w="0" w:type="auto"/>
            <w:shd w:val="clear" w:color="000000" w:fill="DDEBF7"/>
            <w:noWrap/>
            <w:vAlign w:val="center"/>
            <w:hideMark/>
          </w:tcPr>
          <w:p w14:paraId="34F1BB7B"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60,230,825.97 </w:t>
            </w:r>
          </w:p>
        </w:tc>
      </w:tr>
      <w:tr w:rsidR="00963B72" w:rsidRPr="00963B72" w14:paraId="2D7D6D38" w14:textId="77777777" w:rsidTr="00C0281B">
        <w:trPr>
          <w:trHeight w:val="300"/>
          <w:jc w:val="center"/>
        </w:trPr>
        <w:tc>
          <w:tcPr>
            <w:tcW w:w="0" w:type="auto"/>
            <w:shd w:val="clear" w:color="000000" w:fill="DDEBF7"/>
            <w:noWrap/>
            <w:vAlign w:val="center"/>
            <w:hideMark/>
          </w:tcPr>
          <w:p w14:paraId="2637364E" w14:textId="77777777" w:rsidR="00963B72" w:rsidRPr="00950420" w:rsidRDefault="00963B72" w:rsidP="00D17FA1">
            <w:pPr>
              <w:spacing w:after="0" w:line="240" w:lineRule="auto"/>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11. Participación Sociopolítica</w:t>
            </w:r>
          </w:p>
        </w:tc>
        <w:tc>
          <w:tcPr>
            <w:tcW w:w="0" w:type="auto"/>
            <w:shd w:val="clear" w:color="000000" w:fill="DDEBF7"/>
            <w:noWrap/>
            <w:vAlign w:val="center"/>
            <w:hideMark/>
          </w:tcPr>
          <w:p w14:paraId="2F2B10CC"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16,298,578.09 </w:t>
            </w:r>
          </w:p>
        </w:tc>
        <w:tc>
          <w:tcPr>
            <w:tcW w:w="0" w:type="auto"/>
            <w:shd w:val="clear" w:color="000000" w:fill="DDEBF7"/>
            <w:noWrap/>
            <w:vAlign w:val="center"/>
            <w:hideMark/>
          </w:tcPr>
          <w:p w14:paraId="2230405F"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65,009,920.81 </w:t>
            </w:r>
          </w:p>
        </w:tc>
        <w:tc>
          <w:tcPr>
            <w:tcW w:w="0" w:type="auto"/>
            <w:shd w:val="clear" w:color="000000" w:fill="DDEBF7"/>
            <w:noWrap/>
            <w:vAlign w:val="center"/>
            <w:hideMark/>
          </w:tcPr>
          <w:p w14:paraId="30224352"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23,218,170.94 </w:t>
            </w:r>
          </w:p>
        </w:tc>
      </w:tr>
      <w:tr w:rsidR="00963B72" w:rsidRPr="00963B72" w14:paraId="3B81EFCE" w14:textId="77777777" w:rsidTr="00C0281B">
        <w:trPr>
          <w:trHeight w:val="300"/>
          <w:jc w:val="center"/>
        </w:trPr>
        <w:tc>
          <w:tcPr>
            <w:tcW w:w="0" w:type="auto"/>
            <w:shd w:val="clear" w:color="000000" w:fill="DDEBF7"/>
            <w:noWrap/>
            <w:vAlign w:val="center"/>
            <w:hideMark/>
          </w:tcPr>
          <w:p w14:paraId="3FD3BB4F" w14:textId="77777777" w:rsidR="00963B72" w:rsidRPr="00950420" w:rsidRDefault="00963B72" w:rsidP="00D17FA1">
            <w:pPr>
              <w:spacing w:after="0" w:line="240" w:lineRule="auto"/>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12. Identidad Cultural</w:t>
            </w:r>
          </w:p>
        </w:tc>
        <w:tc>
          <w:tcPr>
            <w:tcW w:w="0" w:type="auto"/>
            <w:shd w:val="clear" w:color="000000" w:fill="DDEBF7"/>
            <w:noWrap/>
            <w:vAlign w:val="center"/>
            <w:hideMark/>
          </w:tcPr>
          <w:p w14:paraId="38C5A7DB"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6,578,563.00 </w:t>
            </w:r>
          </w:p>
        </w:tc>
        <w:tc>
          <w:tcPr>
            <w:tcW w:w="0" w:type="auto"/>
            <w:shd w:val="clear" w:color="000000" w:fill="DDEBF7"/>
            <w:noWrap/>
            <w:vAlign w:val="center"/>
            <w:hideMark/>
          </w:tcPr>
          <w:p w14:paraId="11C55474"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5,010,448.55 </w:t>
            </w:r>
          </w:p>
        </w:tc>
        <w:tc>
          <w:tcPr>
            <w:tcW w:w="0" w:type="auto"/>
            <w:shd w:val="clear" w:color="000000" w:fill="DDEBF7"/>
            <w:noWrap/>
            <w:vAlign w:val="center"/>
            <w:hideMark/>
          </w:tcPr>
          <w:p w14:paraId="5A459C16" w14:textId="77777777" w:rsidR="00963B72" w:rsidRPr="00950420" w:rsidRDefault="00963B72" w:rsidP="00D17FA1">
            <w:pPr>
              <w:spacing w:after="0" w:line="240" w:lineRule="auto"/>
              <w:jc w:val="right"/>
              <w:rPr>
                <w:rFonts w:ascii="Calibri" w:eastAsia="Times New Roman" w:hAnsi="Calibri" w:cs="Times New Roman"/>
                <w:color w:val="000000"/>
                <w:sz w:val="18"/>
                <w:lang w:eastAsia="es-GT"/>
              </w:rPr>
            </w:pPr>
            <w:r w:rsidRPr="00950420">
              <w:rPr>
                <w:rFonts w:ascii="Calibri" w:eastAsia="Times New Roman" w:hAnsi="Calibri" w:cs="Times New Roman"/>
                <w:color w:val="000000"/>
                <w:sz w:val="18"/>
                <w:lang w:eastAsia="es-GT"/>
              </w:rPr>
              <w:t xml:space="preserve"> Q       1,300,696.81 </w:t>
            </w:r>
          </w:p>
        </w:tc>
      </w:tr>
      <w:tr w:rsidR="00963B72" w:rsidRPr="00963B72" w14:paraId="21A785F1" w14:textId="77777777" w:rsidTr="00C0281B">
        <w:trPr>
          <w:trHeight w:val="300"/>
          <w:jc w:val="center"/>
        </w:trPr>
        <w:tc>
          <w:tcPr>
            <w:tcW w:w="0" w:type="auto"/>
            <w:shd w:val="clear" w:color="000000" w:fill="DDEBF7"/>
            <w:noWrap/>
            <w:vAlign w:val="center"/>
            <w:hideMark/>
          </w:tcPr>
          <w:p w14:paraId="02D97653" w14:textId="77777777" w:rsidR="00963B72" w:rsidRPr="00950420" w:rsidRDefault="00963B72" w:rsidP="00D17FA1">
            <w:pPr>
              <w:spacing w:after="0" w:line="240" w:lineRule="auto"/>
              <w:rPr>
                <w:rFonts w:ascii="Calibri" w:eastAsia="Times New Roman" w:hAnsi="Calibri" w:cs="Times New Roman"/>
                <w:b/>
                <w:bCs/>
                <w:color w:val="000000"/>
                <w:sz w:val="18"/>
                <w:lang w:eastAsia="es-GT"/>
              </w:rPr>
            </w:pPr>
            <w:r w:rsidRPr="00950420">
              <w:rPr>
                <w:rFonts w:ascii="Calibri" w:eastAsia="Times New Roman" w:hAnsi="Calibri" w:cs="Times New Roman"/>
                <w:b/>
                <w:bCs/>
                <w:color w:val="000000"/>
                <w:sz w:val="18"/>
                <w:lang w:eastAsia="es-GT"/>
              </w:rPr>
              <w:t>TOTAL</w:t>
            </w:r>
          </w:p>
        </w:tc>
        <w:tc>
          <w:tcPr>
            <w:tcW w:w="0" w:type="auto"/>
            <w:shd w:val="clear" w:color="000000" w:fill="DDEBF7"/>
            <w:noWrap/>
            <w:vAlign w:val="center"/>
            <w:hideMark/>
          </w:tcPr>
          <w:p w14:paraId="6B9D0260" w14:textId="7A5EC544" w:rsidR="00963B72" w:rsidRPr="00950420" w:rsidRDefault="00963B72" w:rsidP="00D17FA1">
            <w:pPr>
              <w:spacing w:after="0" w:line="240" w:lineRule="auto"/>
              <w:jc w:val="right"/>
              <w:rPr>
                <w:rFonts w:ascii="Calibri" w:eastAsia="Times New Roman" w:hAnsi="Calibri" w:cs="Times New Roman"/>
                <w:b/>
                <w:bCs/>
                <w:color w:val="000000"/>
                <w:sz w:val="18"/>
                <w:lang w:eastAsia="es-GT"/>
              </w:rPr>
            </w:pPr>
            <w:r w:rsidRPr="00950420">
              <w:rPr>
                <w:rFonts w:ascii="Calibri" w:eastAsia="Times New Roman" w:hAnsi="Calibri" w:cs="Times New Roman"/>
                <w:b/>
                <w:bCs/>
                <w:color w:val="000000"/>
                <w:sz w:val="18"/>
                <w:lang w:eastAsia="es-GT"/>
              </w:rPr>
              <w:t xml:space="preserve"> </w:t>
            </w:r>
            <w:r w:rsidR="00DA10FA" w:rsidRPr="00950420">
              <w:rPr>
                <w:rFonts w:ascii="Calibri" w:eastAsia="Times New Roman" w:hAnsi="Calibri" w:cs="Times New Roman"/>
                <w:b/>
                <w:bCs/>
                <w:color w:val="000000"/>
                <w:sz w:val="18"/>
                <w:lang w:eastAsia="es-GT"/>
              </w:rPr>
              <w:t>Q 1,142,413,690.28</w:t>
            </w:r>
            <w:r w:rsidRPr="00950420">
              <w:rPr>
                <w:rFonts w:ascii="Calibri" w:eastAsia="Times New Roman" w:hAnsi="Calibri" w:cs="Times New Roman"/>
                <w:b/>
                <w:bCs/>
                <w:color w:val="000000"/>
                <w:sz w:val="18"/>
                <w:lang w:eastAsia="es-GT"/>
              </w:rPr>
              <w:t xml:space="preserve"> </w:t>
            </w:r>
          </w:p>
        </w:tc>
        <w:tc>
          <w:tcPr>
            <w:tcW w:w="0" w:type="auto"/>
            <w:shd w:val="clear" w:color="000000" w:fill="DDEBF7"/>
            <w:noWrap/>
            <w:vAlign w:val="center"/>
            <w:hideMark/>
          </w:tcPr>
          <w:p w14:paraId="01710DE0" w14:textId="4D9AFB74" w:rsidR="00963B72" w:rsidRPr="00950420" w:rsidRDefault="00963B72" w:rsidP="00D17FA1">
            <w:pPr>
              <w:spacing w:after="0" w:line="240" w:lineRule="auto"/>
              <w:jc w:val="right"/>
              <w:rPr>
                <w:rFonts w:ascii="Calibri" w:eastAsia="Times New Roman" w:hAnsi="Calibri" w:cs="Times New Roman"/>
                <w:b/>
                <w:bCs/>
                <w:color w:val="000000"/>
                <w:sz w:val="18"/>
                <w:lang w:eastAsia="es-GT"/>
              </w:rPr>
            </w:pPr>
            <w:r w:rsidRPr="00950420">
              <w:rPr>
                <w:rFonts w:ascii="Calibri" w:eastAsia="Times New Roman" w:hAnsi="Calibri" w:cs="Times New Roman"/>
                <w:b/>
                <w:bCs/>
                <w:color w:val="000000"/>
                <w:sz w:val="18"/>
                <w:lang w:eastAsia="es-GT"/>
              </w:rPr>
              <w:t xml:space="preserve"> </w:t>
            </w:r>
            <w:r w:rsidR="00DA10FA" w:rsidRPr="00950420">
              <w:rPr>
                <w:rFonts w:ascii="Calibri" w:eastAsia="Times New Roman" w:hAnsi="Calibri" w:cs="Times New Roman"/>
                <w:b/>
                <w:bCs/>
                <w:color w:val="000000"/>
                <w:sz w:val="18"/>
                <w:lang w:eastAsia="es-GT"/>
              </w:rPr>
              <w:t>Q 1,706,591,145.36</w:t>
            </w:r>
            <w:r w:rsidRPr="00950420">
              <w:rPr>
                <w:rFonts w:ascii="Calibri" w:eastAsia="Times New Roman" w:hAnsi="Calibri" w:cs="Times New Roman"/>
                <w:b/>
                <w:bCs/>
                <w:color w:val="000000"/>
                <w:sz w:val="18"/>
                <w:lang w:eastAsia="es-GT"/>
              </w:rPr>
              <w:t xml:space="preserve"> </w:t>
            </w:r>
          </w:p>
        </w:tc>
        <w:tc>
          <w:tcPr>
            <w:tcW w:w="0" w:type="auto"/>
            <w:shd w:val="clear" w:color="000000" w:fill="DDEBF7"/>
            <w:noWrap/>
            <w:vAlign w:val="center"/>
            <w:hideMark/>
          </w:tcPr>
          <w:p w14:paraId="692DEB44" w14:textId="12695FCA" w:rsidR="00963B72" w:rsidRPr="00950420" w:rsidRDefault="00963B72" w:rsidP="00D17FA1">
            <w:pPr>
              <w:spacing w:after="0" w:line="240" w:lineRule="auto"/>
              <w:jc w:val="right"/>
              <w:rPr>
                <w:rFonts w:ascii="Calibri" w:eastAsia="Times New Roman" w:hAnsi="Calibri" w:cs="Times New Roman"/>
                <w:b/>
                <w:bCs/>
                <w:color w:val="000000"/>
                <w:sz w:val="18"/>
                <w:lang w:eastAsia="es-GT"/>
              </w:rPr>
            </w:pPr>
            <w:r w:rsidRPr="00950420">
              <w:rPr>
                <w:rFonts w:ascii="Calibri" w:eastAsia="Times New Roman" w:hAnsi="Calibri" w:cs="Times New Roman"/>
                <w:b/>
                <w:bCs/>
                <w:color w:val="000000"/>
                <w:sz w:val="18"/>
                <w:lang w:eastAsia="es-GT"/>
              </w:rPr>
              <w:t xml:space="preserve"> </w:t>
            </w:r>
            <w:r w:rsidR="00DA10FA" w:rsidRPr="00950420">
              <w:rPr>
                <w:rFonts w:ascii="Calibri" w:eastAsia="Times New Roman" w:hAnsi="Calibri" w:cs="Times New Roman"/>
                <w:b/>
                <w:bCs/>
                <w:color w:val="000000"/>
                <w:sz w:val="18"/>
                <w:lang w:eastAsia="es-GT"/>
              </w:rPr>
              <w:t>Q 656,891,363.05</w:t>
            </w:r>
            <w:r w:rsidRPr="00950420">
              <w:rPr>
                <w:rFonts w:ascii="Calibri" w:eastAsia="Times New Roman" w:hAnsi="Calibri" w:cs="Times New Roman"/>
                <w:b/>
                <w:bCs/>
                <w:color w:val="000000"/>
                <w:sz w:val="18"/>
                <w:lang w:eastAsia="es-GT"/>
              </w:rPr>
              <w:t xml:space="preserve"> </w:t>
            </w:r>
          </w:p>
        </w:tc>
      </w:tr>
    </w:tbl>
    <w:p w14:paraId="17A337D7" w14:textId="77777777" w:rsidR="00E9146B" w:rsidRPr="00387A2F" w:rsidRDefault="00E9146B" w:rsidP="00E9146B">
      <w:pPr>
        <w:spacing w:after="0" w:line="240" w:lineRule="auto"/>
        <w:rPr>
          <w:rFonts w:ascii="Calibri" w:eastAsia="Times New Roman" w:hAnsi="Calibri" w:cs="Times New Roman"/>
          <w:b/>
          <w:bCs/>
          <w:color w:val="000000"/>
          <w:sz w:val="18"/>
          <w:szCs w:val="18"/>
          <w:lang w:eastAsia="es-GT"/>
        </w:rPr>
      </w:pPr>
      <w:r w:rsidRPr="00387A2F">
        <w:rPr>
          <w:color w:val="231F20"/>
          <w:sz w:val="18"/>
          <w:szCs w:val="18"/>
        </w:rPr>
        <w:t xml:space="preserve">Fuente: Sistema de Contabilidad Integrada (SICOIN), </w:t>
      </w:r>
      <w:r>
        <w:rPr>
          <w:color w:val="231F20"/>
          <w:sz w:val="18"/>
          <w:szCs w:val="18"/>
        </w:rPr>
        <w:t>del 1 de enero al 30 de junio</w:t>
      </w:r>
      <w:r w:rsidRPr="00387A2F">
        <w:rPr>
          <w:color w:val="231F20"/>
          <w:sz w:val="18"/>
          <w:szCs w:val="18"/>
        </w:rPr>
        <w:t xml:space="preserve"> del 2021</w:t>
      </w:r>
    </w:p>
    <w:p w14:paraId="6CF01CBE" w14:textId="6E171F2A" w:rsidR="00966E35" w:rsidRPr="00307B72" w:rsidRDefault="005A172A" w:rsidP="0080734D">
      <w:pPr>
        <w:pStyle w:val="Ttulo2"/>
      </w:pPr>
      <w:r w:rsidRPr="00CB7EDB">
        <w:rPr>
          <w:b/>
          <w:bCs/>
        </w:rPr>
        <w:br w:type="page"/>
      </w:r>
      <w:bookmarkStart w:id="18" w:name="_Toc98759538"/>
      <w:r w:rsidR="004625B3" w:rsidRPr="00307B72">
        <w:lastRenderedPageBreak/>
        <w:t xml:space="preserve">COMPARATIVOS DE </w:t>
      </w:r>
      <w:r w:rsidR="0080734D" w:rsidRPr="00307B72">
        <w:t>VINCULACIÓN DE</w:t>
      </w:r>
      <w:r w:rsidR="00966E35" w:rsidRPr="00307B72">
        <w:t xml:space="preserve"> GOBIERNO CENTRAL Y GOBIERNO LOCAL VINCULADAS AL CPEG</w:t>
      </w:r>
      <w:bookmarkEnd w:id="18"/>
    </w:p>
    <w:p w14:paraId="2E5A0592" w14:textId="0F2A49FB" w:rsidR="004625B3" w:rsidRPr="00F76662" w:rsidRDefault="004625B3" w:rsidP="004625B3">
      <w:pPr>
        <w:spacing w:after="0" w:line="360" w:lineRule="auto"/>
        <w:jc w:val="center"/>
        <w:rPr>
          <w:rFonts w:ascii="Calibri" w:eastAsia="Times New Roman" w:hAnsi="Calibri" w:cs="Times New Roman"/>
          <w:b/>
          <w:bCs/>
          <w:color w:val="000000"/>
          <w:lang w:eastAsia="es-GT"/>
        </w:rPr>
      </w:pPr>
      <w:r w:rsidRPr="0080734D">
        <w:rPr>
          <w:rFonts w:ascii="Calibri" w:eastAsia="Times New Roman" w:hAnsi="Calibri" w:cs="Times New Roman"/>
          <w:b/>
          <w:bCs/>
          <w:color w:val="000000"/>
          <w:lang w:eastAsia="es-GT"/>
        </w:rPr>
        <w:t xml:space="preserve">Tabla </w:t>
      </w:r>
      <w:r w:rsidR="0080734D" w:rsidRPr="0080734D">
        <w:rPr>
          <w:rFonts w:ascii="Calibri" w:eastAsia="Times New Roman" w:hAnsi="Calibri" w:cs="Times New Roman"/>
          <w:b/>
          <w:bCs/>
          <w:color w:val="000000"/>
          <w:lang w:eastAsia="es-GT"/>
        </w:rPr>
        <w:t>2</w:t>
      </w:r>
      <w:r w:rsidR="0080734D">
        <w:rPr>
          <w:rFonts w:ascii="Calibri" w:eastAsia="Times New Roman" w:hAnsi="Calibri" w:cs="Times New Roman"/>
          <w:b/>
          <w:bCs/>
          <w:color w:val="000000"/>
          <w:lang w:eastAsia="es-GT"/>
        </w:rPr>
        <w:t>2</w:t>
      </w:r>
    </w:p>
    <w:p w14:paraId="4E9484AF" w14:textId="7588CB47" w:rsidR="004625B3" w:rsidRDefault="004625B3" w:rsidP="00285D72">
      <w:pPr>
        <w:spacing w:after="0" w:line="240" w:lineRule="auto"/>
        <w:jc w:val="center"/>
        <w:rPr>
          <w:rFonts w:ascii="Calibri" w:eastAsia="Times New Roman" w:hAnsi="Calibri" w:cs="Times New Roman"/>
          <w:b/>
          <w:bCs/>
          <w:color w:val="000000"/>
          <w:lang w:eastAsia="es-GT"/>
        </w:rPr>
      </w:pPr>
      <w:r w:rsidRPr="00411E33">
        <w:rPr>
          <w:rFonts w:ascii="Calibri" w:eastAsia="Times New Roman" w:hAnsi="Calibri" w:cs="Times New Roman"/>
          <w:b/>
          <w:bCs/>
          <w:color w:val="000000"/>
          <w:lang w:eastAsia="es-GT"/>
        </w:rPr>
        <w:t>Comparativo del Presupuesto Vinculado al CPEG en el Primer Semestre 2021</w:t>
      </w:r>
      <w:r w:rsidRPr="00411E33">
        <w:rPr>
          <w:rFonts w:ascii="Calibri" w:eastAsia="Times New Roman" w:hAnsi="Calibri" w:cs="Times New Roman"/>
          <w:b/>
          <w:bCs/>
          <w:color w:val="000000"/>
          <w:lang w:eastAsia="es-GT"/>
        </w:rPr>
        <w:br/>
        <w:t xml:space="preserve">instituciones centralizadas y descentralizadas con relación al </w:t>
      </w:r>
      <w:r>
        <w:rPr>
          <w:rFonts w:ascii="Calibri" w:eastAsia="Times New Roman" w:hAnsi="Calibri" w:cs="Times New Roman"/>
          <w:b/>
          <w:bCs/>
          <w:color w:val="000000"/>
          <w:lang w:eastAsia="es-GT"/>
        </w:rPr>
        <w:t>P</w:t>
      </w:r>
      <w:r w:rsidRPr="00411E33">
        <w:rPr>
          <w:rFonts w:ascii="Calibri" w:eastAsia="Times New Roman" w:hAnsi="Calibri" w:cs="Times New Roman"/>
          <w:b/>
          <w:bCs/>
          <w:color w:val="000000"/>
          <w:lang w:eastAsia="es-GT"/>
        </w:rPr>
        <w:t xml:space="preserve">resupuesto </w:t>
      </w:r>
      <w:r>
        <w:rPr>
          <w:rFonts w:ascii="Calibri" w:eastAsia="Times New Roman" w:hAnsi="Calibri" w:cs="Times New Roman"/>
          <w:b/>
          <w:bCs/>
          <w:color w:val="000000"/>
          <w:lang w:eastAsia="es-GT"/>
        </w:rPr>
        <w:t>G</w:t>
      </w:r>
      <w:r w:rsidRPr="00411E33">
        <w:rPr>
          <w:rFonts w:ascii="Calibri" w:eastAsia="Times New Roman" w:hAnsi="Calibri" w:cs="Times New Roman"/>
          <w:b/>
          <w:bCs/>
          <w:color w:val="000000"/>
          <w:lang w:eastAsia="es-GT"/>
        </w:rPr>
        <w:t>eneral de la Nación</w:t>
      </w:r>
    </w:p>
    <w:p w14:paraId="1BEB6625" w14:textId="77777777" w:rsidR="00285D72" w:rsidRPr="007052EA" w:rsidRDefault="00285D72" w:rsidP="00285D72">
      <w:pPr>
        <w:spacing w:after="0" w:line="240" w:lineRule="auto"/>
        <w:jc w:val="center"/>
        <w:rPr>
          <w:rFonts w:ascii="Calibri" w:eastAsia="Times New Roman" w:hAnsi="Calibri" w:cs="Times New Roman"/>
          <w:color w:val="000000"/>
          <w:lang w:eastAsia="es-GT"/>
        </w:rPr>
      </w:pPr>
    </w:p>
    <w:tbl>
      <w:tblPr>
        <w:tblStyle w:val="Tablaconcuadrcula"/>
        <w:tblW w:w="0" w:type="auto"/>
        <w:tblLook w:val="04A0" w:firstRow="1" w:lastRow="0" w:firstColumn="1" w:lastColumn="0" w:noHBand="0" w:noVBand="1"/>
      </w:tblPr>
      <w:tblGrid>
        <w:gridCol w:w="1475"/>
        <w:gridCol w:w="1437"/>
        <w:gridCol w:w="60"/>
        <w:gridCol w:w="1416"/>
        <w:gridCol w:w="1703"/>
        <w:gridCol w:w="1701"/>
        <w:gridCol w:w="1036"/>
      </w:tblGrid>
      <w:tr w:rsidR="004625B3" w:rsidRPr="007052EA" w14:paraId="6CDF6856" w14:textId="77777777" w:rsidTr="00AE3EC9">
        <w:trPr>
          <w:trHeight w:val="375"/>
        </w:trPr>
        <w:tc>
          <w:tcPr>
            <w:tcW w:w="1475" w:type="dxa"/>
            <w:shd w:val="clear" w:color="auto" w:fill="1F4E79" w:themeFill="accent5" w:themeFillShade="80"/>
            <w:noWrap/>
            <w:hideMark/>
          </w:tcPr>
          <w:p w14:paraId="32B314D4" w14:textId="77777777" w:rsidR="004625B3" w:rsidRPr="007052EA" w:rsidRDefault="004625B3" w:rsidP="00AE3EC9">
            <w:pPr>
              <w:pStyle w:val="Tabla"/>
              <w:spacing w:line="276" w:lineRule="auto"/>
              <w:jc w:val="center"/>
              <w:rPr>
                <w:b/>
                <w:bCs/>
                <w:color w:val="FFFFFF" w:themeColor="background1"/>
                <w:sz w:val="18"/>
                <w:szCs w:val="18"/>
              </w:rPr>
            </w:pPr>
            <w:r w:rsidRPr="007052EA">
              <w:rPr>
                <w:b/>
                <w:bCs/>
                <w:color w:val="FFFFFF" w:themeColor="background1"/>
                <w:sz w:val="18"/>
                <w:szCs w:val="18"/>
              </w:rPr>
              <w:t>Devengado Centralizadas</w:t>
            </w:r>
          </w:p>
        </w:tc>
        <w:tc>
          <w:tcPr>
            <w:tcW w:w="1497" w:type="dxa"/>
            <w:gridSpan w:val="2"/>
            <w:shd w:val="clear" w:color="auto" w:fill="1F4E79" w:themeFill="accent5" w:themeFillShade="80"/>
            <w:noWrap/>
            <w:hideMark/>
          </w:tcPr>
          <w:p w14:paraId="1B32C808" w14:textId="77777777" w:rsidR="004625B3" w:rsidRPr="007052EA" w:rsidRDefault="004625B3" w:rsidP="00AE3EC9">
            <w:pPr>
              <w:pStyle w:val="Tabla"/>
              <w:spacing w:line="276" w:lineRule="auto"/>
              <w:jc w:val="center"/>
              <w:rPr>
                <w:b/>
                <w:bCs/>
                <w:color w:val="FFFFFF" w:themeColor="background1"/>
                <w:sz w:val="18"/>
                <w:szCs w:val="18"/>
              </w:rPr>
            </w:pPr>
            <w:r w:rsidRPr="007052EA">
              <w:rPr>
                <w:b/>
                <w:bCs/>
                <w:color w:val="FFFFFF" w:themeColor="background1"/>
                <w:sz w:val="18"/>
                <w:szCs w:val="18"/>
              </w:rPr>
              <w:t>Devengado descentralizadas</w:t>
            </w:r>
          </w:p>
        </w:tc>
        <w:tc>
          <w:tcPr>
            <w:tcW w:w="1416" w:type="dxa"/>
            <w:shd w:val="clear" w:color="auto" w:fill="1F4E79" w:themeFill="accent5" w:themeFillShade="80"/>
            <w:noWrap/>
            <w:hideMark/>
          </w:tcPr>
          <w:p w14:paraId="0630AB88" w14:textId="77777777" w:rsidR="004625B3" w:rsidRPr="007052EA" w:rsidRDefault="004625B3" w:rsidP="00AE3EC9">
            <w:pPr>
              <w:pStyle w:val="Tabla"/>
              <w:spacing w:line="276" w:lineRule="auto"/>
              <w:jc w:val="center"/>
              <w:rPr>
                <w:b/>
                <w:bCs/>
                <w:color w:val="FFFFFF" w:themeColor="background1"/>
                <w:sz w:val="18"/>
                <w:szCs w:val="18"/>
              </w:rPr>
            </w:pPr>
            <w:proofErr w:type="gramStart"/>
            <w:r w:rsidRPr="007052EA">
              <w:rPr>
                <w:b/>
                <w:bCs/>
                <w:color w:val="FFFFFF" w:themeColor="background1"/>
                <w:sz w:val="18"/>
                <w:szCs w:val="18"/>
              </w:rPr>
              <w:t>Total</w:t>
            </w:r>
            <w:proofErr w:type="gramEnd"/>
            <w:r w:rsidRPr="007052EA">
              <w:rPr>
                <w:b/>
                <w:bCs/>
                <w:color w:val="FFFFFF" w:themeColor="background1"/>
                <w:sz w:val="18"/>
                <w:szCs w:val="18"/>
              </w:rPr>
              <w:t xml:space="preserve"> Devengado Vinculado</w:t>
            </w:r>
          </w:p>
        </w:tc>
        <w:tc>
          <w:tcPr>
            <w:tcW w:w="1703" w:type="dxa"/>
            <w:shd w:val="clear" w:color="auto" w:fill="1F4E79" w:themeFill="accent5" w:themeFillShade="80"/>
            <w:hideMark/>
          </w:tcPr>
          <w:p w14:paraId="143144F8" w14:textId="77777777" w:rsidR="004625B3" w:rsidRPr="007052EA" w:rsidRDefault="004625B3" w:rsidP="00AE3EC9">
            <w:pPr>
              <w:pStyle w:val="Tabla"/>
              <w:spacing w:line="276" w:lineRule="auto"/>
              <w:jc w:val="center"/>
              <w:rPr>
                <w:b/>
                <w:bCs/>
                <w:color w:val="FFFFFF" w:themeColor="background1"/>
                <w:sz w:val="18"/>
                <w:szCs w:val="18"/>
              </w:rPr>
            </w:pPr>
            <w:r w:rsidRPr="007052EA">
              <w:rPr>
                <w:b/>
                <w:bCs/>
                <w:color w:val="FFFFFF" w:themeColor="background1"/>
                <w:sz w:val="18"/>
                <w:szCs w:val="18"/>
              </w:rPr>
              <w:t>Presupuesto general de la nación</w:t>
            </w:r>
          </w:p>
        </w:tc>
        <w:tc>
          <w:tcPr>
            <w:tcW w:w="1701" w:type="dxa"/>
            <w:shd w:val="clear" w:color="auto" w:fill="1F4E79" w:themeFill="accent5" w:themeFillShade="80"/>
            <w:hideMark/>
          </w:tcPr>
          <w:p w14:paraId="412F994A" w14:textId="77777777" w:rsidR="004625B3" w:rsidRPr="007052EA" w:rsidRDefault="004625B3" w:rsidP="00AE3EC9">
            <w:pPr>
              <w:pStyle w:val="Tabla"/>
              <w:spacing w:line="276" w:lineRule="auto"/>
              <w:jc w:val="center"/>
              <w:rPr>
                <w:b/>
                <w:bCs/>
                <w:color w:val="FFFFFF" w:themeColor="background1"/>
                <w:sz w:val="18"/>
                <w:szCs w:val="18"/>
              </w:rPr>
            </w:pPr>
            <w:r w:rsidRPr="007052EA">
              <w:rPr>
                <w:b/>
                <w:bCs/>
                <w:color w:val="FFFFFF" w:themeColor="background1"/>
                <w:sz w:val="18"/>
                <w:szCs w:val="18"/>
              </w:rPr>
              <w:t xml:space="preserve">Presupuesto general de la nación ajuste </w:t>
            </w:r>
            <w:proofErr w:type="spellStart"/>
            <w:r w:rsidRPr="007052EA">
              <w:rPr>
                <w:b/>
                <w:bCs/>
                <w:color w:val="FFFFFF" w:themeColor="background1"/>
                <w:sz w:val="18"/>
                <w:szCs w:val="18"/>
              </w:rPr>
              <w:t>Covid</w:t>
            </w:r>
            <w:proofErr w:type="spellEnd"/>
          </w:p>
        </w:tc>
        <w:tc>
          <w:tcPr>
            <w:tcW w:w="1036" w:type="dxa"/>
            <w:shd w:val="clear" w:color="auto" w:fill="1F4E79" w:themeFill="accent5" w:themeFillShade="80"/>
            <w:hideMark/>
          </w:tcPr>
          <w:p w14:paraId="5A187264" w14:textId="77777777" w:rsidR="004625B3" w:rsidRPr="007052EA" w:rsidRDefault="004625B3" w:rsidP="00AE3EC9">
            <w:pPr>
              <w:pStyle w:val="Tabla"/>
              <w:spacing w:line="276" w:lineRule="auto"/>
              <w:jc w:val="center"/>
              <w:rPr>
                <w:b/>
                <w:bCs/>
                <w:color w:val="FFFFFF" w:themeColor="background1"/>
                <w:sz w:val="18"/>
                <w:szCs w:val="18"/>
              </w:rPr>
            </w:pPr>
            <w:r w:rsidRPr="007052EA">
              <w:rPr>
                <w:b/>
                <w:bCs/>
                <w:color w:val="FFFFFF" w:themeColor="background1"/>
                <w:sz w:val="18"/>
                <w:szCs w:val="18"/>
              </w:rPr>
              <w:t>%</w:t>
            </w:r>
          </w:p>
          <w:p w14:paraId="76E93D3E" w14:textId="77777777" w:rsidR="004625B3" w:rsidRPr="007052EA" w:rsidRDefault="004625B3" w:rsidP="00AE3EC9">
            <w:pPr>
              <w:pStyle w:val="Tabla"/>
              <w:spacing w:line="276" w:lineRule="auto"/>
              <w:jc w:val="center"/>
              <w:rPr>
                <w:b/>
                <w:bCs/>
                <w:color w:val="FFFFFF" w:themeColor="background1"/>
                <w:sz w:val="18"/>
                <w:szCs w:val="18"/>
              </w:rPr>
            </w:pPr>
            <w:r w:rsidRPr="007052EA">
              <w:rPr>
                <w:b/>
                <w:bCs/>
                <w:color w:val="FFFFFF" w:themeColor="background1"/>
                <w:sz w:val="18"/>
                <w:szCs w:val="18"/>
              </w:rPr>
              <w:t>Ejecución</w:t>
            </w:r>
          </w:p>
        </w:tc>
      </w:tr>
      <w:tr w:rsidR="004625B3" w:rsidRPr="007052EA" w14:paraId="1627686A" w14:textId="77777777" w:rsidTr="00AE3EC9">
        <w:trPr>
          <w:trHeight w:val="270"/>
        </w:trPr>
        <w:tc>
          <w:tcPr>
            <w:tcW w:w="1475" w:type="dxa"/>
            <w:shd w:val="clear" w:color="auto" w:fill="BDD6EE" w:themeFill="accent5" w:themeFillTint="66"/>
            <w:noWrap/>
            <w:hideMark/>
          </w:tcPr>
          <w:p w14:paraId="51B28BF9" w14:textId="77777777" w:rsidR="004625B3" w:rsidRPr="00411E33" w:rsidRDefault="004625B3" w:rsidP="00AE3EC9">
            <w:pPr>
              <w:pStyle w:val="Tabla"/>
              <w:spacing w:line="360" w:lineRule="auto"/>
              <w:jc w:val="both"/>
              <w:rPr>
                <w:b/>
                <w:bCs/>
                <w:sz w:val="14"/>
                <w:szCs w:val="14"/>
              </w:rPr>
            </w:pPr>
            <w:r w:rsidRPr="007052EA">
              <w:rPr>
                <w:b/>
                <w:bCs/>
                <w:sz w:val="14"/>
                <w:szCs w:val="14"/>
              </w:rPr>
              <w:t xml:space="preserve"> </w:t>
            </w:r>
            <w:r w:rsidRPr="00411E33">
              <w:rPr>
                <w:b/>
                <w:bCs/>
                <w:sz w:val="14"/>
                <w:szCs w:val="14"/>
              </w:rPr>
              <w:t xml:space="preserve">Q     2,289,397,686.00 </w:t>
            </w:r>
          </w:p>
        </w:tc>
        <w:tc>
          <w:tcPr>
            <w:tcW w:w="1437" w:type="dxa"/>
            <w:shd w:val="clear" w:color="auto" w:fill="BDD6EE" w:themeFill="accent5" w:themeFillTint="66"/>
            <w:noWrap/>
            <w:hideMark/>
          </w:tcPr>
          <w:p w14:paraId="49B0BC7A" w14:textId="77777777" w:rsidR="004625B3" w:rsidRPr="00411E33" w:rsidRDefault="004625B3" w:rsidP="00AE3EC9">
            <w:pPr>
              <w:pStyle w:val="Tabla"/>
              <w:spacing w:line="360" w:lineRule="auto"/>
              <w:jc w:val="both"/>
              <w:rPr>
                <w:b/>
                <w:bCs/>
                <w:sz w:val="14"/>
                <w:szCs w:val="14"/>
              </w:rPr>
            </w:pPr>
            <w:r w:rsidRPr="00411E33">
              <w:rPr>
                <w:b/>
                <w:bCs/>
                <w:sz w:val="14"/>
                <w:szCs w:val="14"/>
              </w:rPr>
              <w:t xml:space="preserve"> Q   727,998,418.00 </w:t>
            </w:r>
          </w:p>
        </w:tc>
        <w:tc>
          <w:tcPr>
            <w:tcW w:w="1476" w:type="dxa"/>
            <w:gridSpan w:val="2"/>
            <w:shd w:val="clear" w:color="auto" w:fill="BDD6EE" w:themeFill="accent5" w:themeFillTint="66"/>
            <w:noWrap/>
            <w:hideMark/>
          </w:tcPr>
          <w:p w14:paraId="1C3B792D" w14:textId="77777777" w:rsidR="004625B3" w:rsidRPr="00411E33" w:rsidRDefault="004625B3" w:rsidP="00AE3EC9">
            <w:pPr>
              <w:pStyle w:val="Tabla"/>
              <w:spacing w:line="360" w:lineRule="auto"/>
              <w:jc w:val="both"/>
              <w:rPr>
                <w:b/>
                <w:bCs/>
                <w:sz w:val="14"/>
                <w:szCs w:val="14"/>
              </w:rPr>
            </w:pPr>
            <w:r w:rsidRPr="00411E33">
              <w:rPr>
                <w:b/>
                <w:bCs/>
                <w:sz w:val="14"/>
                <w:szCs w:val="14"/>
              </w:rPr>
              <w:t xml:space="preserve"> Q 3,017,396,104.00 </w:t>
            </w:r>
          </w:p>
        </w:tc>
        <w:tc>
          <w:tcPr>
            <w:tcW w:w="1703" w:type="dxa"/>
            <w:shd w:val="clear" w:color="auto" w:fill="BDD6EE" w:themeFill="accent5" w:themeFillTint="66"/>
            <w:noWrap/>
            <w:hideMark/>
          </w:tcPr>
          <w:p w14:paraId="30A4798F" w14:textId="77777777" w:rsidR="004625B3" w:rsidRPr="00411E33" w:rsidRDefault="004625B3" w:rsidP="00AE3EC9">
            <w:pPr>
              <w:pStyle w:val="Tabla"/>
              <w:spacing w:line="360" w:lineRule="auto"/>
              <w:jc w:val="both"/>
              <w:rPr>
                <w:b/>
                <w:bCs/>
                <w:sz w:val="14"/>
                <w:szCs w:val="14"/>
              </w:rPr>
            </w:pPr>
            <w:r w:rsidRPr="00411E33">
              <w:rPr>
                <w:b/>
                <w:bCs/>
                <w:sz w:val="14"/>
                <w:szCs w:val="14"/>
              </w:rPr>
              <w:t xml:space="preserve"> Q        94,354,000,000.00 </w:t>
            </w:r>
          </w:p>
        </w:tc>
        <w:tc>
          <w:tcPr>
            <w:tcW w:w="1701" w:type="dxa"/>
            <w:shd w:val="clear" w:color="auto" w:fill="BDD6EE" w:themeFill="accent5" w:themeFillTint="66"/>
            <w:noWrap/>
            <w:hideMark/>
          </w:tcPr>
          <w:p w14:paraId="30D81DFE" w14:textId="77777777" w:rsidR="004625B3" w:rsidRPr="00411E33" w:rsidRDefault="004625B3" w:rsidP="00AE3EC9">
            <w:pPr>
              <w:pStyle w:val="Tabla"/>
              <w:spacing w:line="360" w:lineRule="auto"/>
              <w:jc w:val="both"/>
              <w:rPr>
                <w:b/>
                <w:bCs/>
                <w:sz w:val="14"/>
                <w:szCs w:val="14"/>
              </w:rPr>
            </w:pPr>
            <w:r w:rsidRPr="00411E33">
              <w:rPr>
                <w:b/>
                <w:bCs/>
                <w:sz w:val="14"/>
                <w:szCs w:val="14"/>
              </w:rPr>
              <w:t xml:space="preserve"> Q    107,742,000,000.00 </w:t>
            </w:r>
          </w:p>
        </w:tc>
        <w:tc>
          <w:tcPr>
            <w:tcW w:w="1036" w:type="dxa"/>
            <w:shd w:val="clear" w:color="auto" w:fill="BDD6EE" w:themeFill="accent5" w:themeFillTint="66"/>
            <w:noWrap/>
            <w:hideMark/>
          </w:tcPr>
          <w:p w14:paraId="6E037835" w14:textId="77777777" w:rsidR="004625B3" w:rsidRPr="007052EA" w:rsidRDefault="004625B3" w:rsidP="00AE3EC9">
            <w:pPr>
              <w:pStyle w:val="Tabla"/>
              <w:spacing w:line="360" w:lineRule="auto"/>
              <w:jc w:val="center"/>
              <w:rPr>
                <w:b/>
                <w:bCs/>
                <w:sz w:val="14"/>
                <w:szCs w:val="14"/>
              </w:rPr>
            </w:pPr>
            <w:r w:rsidRPr="00411E33">
              <w:rPr>
                <w:b/>
                <w:bCs/>
                <w:sz w:val="14"/>
                <w:szCs w:val="14"/>
              </w:rPr>
              <w:t>2.80%</w:t>
            </w:r>
          </w:p>
        </w:tc>
      </w:tr>
    </w:tbl>
    <w:p w14:paraId="00DD785D" w14:textId="77777777" w:rsidR="004625B3" w:rsidRPr="00411E33" w:rsidRDefault="004625B3" w:rsidP="004625B3">
      <w:pPr>
        <w:pStyle w:val="Tabla"/>
        <w:spacing w:line="360" w:lineRule="auto"/>
        <w:jc w:val="both"/>
        <w:rPr>
          <w:sz w:val="16"/>
          <w:szCs w:val="16"/>
        </w:rPr>
      </w:pPr>
      <w:r w:rsidRPr="00411E33">
        <w:rPr>
          <w:sz w:val="16"/>
          <w:szCs w:val="16"/>
        </w:rPr>
        <w:t>Fuente: Sistema de Contabilidad Integrada (SICOIN), del 1 de enero al 30 de junio del 2021</w:t>
      </w:r>
    </w:p>
    <w:p w14:paraId="20AB2B9F" w14:textId="0C53671D" w:rsidR="00BD0F92" w:rsidRDefault="004625B3" w:rsidP="00E4571F">
      <w:pPr>
        <w:pStyle w:val="Tabla"/>
        <w:spacing w:line="360" w:lineRule="auto"/>
        <w:jc w:val="both"/>
      </w:pPr>
      <w:r w:rsidRPr="00411E33">
        <w:t>El comparativo del presupuesto vinculado al CPEG durante el primer semestre de 2021 da cuenta que solo el 2.8% del presupuesto general de la nación fue ejecutado en acciones afirmativas para el avance de los derechos humanos de las mujeres.</w:t>
      </w:r>
      <w:r w:rsidR="001A40EA">
        <w:t xml:space="preserve"> Correspondiendo e</w:t>
      </w:r>
      <w:r w:rsidR="00BD0F92">
        <w:t xml:space="preserve">l mayor presupuesto Devengado para el primer trimestre del 2021 a las entidades centralizadas. </w:t>
      </w:r>
    </w:p>
    <w:p w14:paraId="7462AFBD" w14:textId="610D7FD8" w:rsidR="0017597C" w:rsidRDefault="002D1F23" w:rsidP="002D1F23">
      <w:pPr>
        <w:tabs>
          <w:tab w:val="left" w:pos="2250"/>
        </w:tabs>
        <w:spacing w:after="0" w:line="360" w:lineRule="auto"/>
        <w:jc w:val="both"/>
      </w:pPr>
      <w:r>
        <w:t xml:space="preserve">A continuación, </w:t>
      </w:r>
      <w:r w:rsidR="009C105D">
        <w:t xml:space="preserve">la tabla 23, </w:t>
      </w:r>
      <w:r>
        <w:t>presenta los datos consolidados para las entidades analizadas</w:t>
      </w:r>
      <w:r w:rsidR="00BD0F92">
        <w:t xml:space="preserve">, agrupadas en </w:t>
      </w:r>
      <w:r>
        <w:t xml:space="preserve">gobierno central </w:t>
      </w:r>
      <w:r w:rsidR="003E6DEA">
        <w:t xml:space="preserve">(centralizadas y descentralizadas) </w:t>
      </w:r>
      <w:r>
        <w:t>y gobierno local, observándose que el eje que mayor presupuesto obtuvo fue el eje 5 Violencia contra las Mujeres</w:t>
      </w:r>
      <w:r w:rsidR="0064171B">
        <w:t>, seguido del eje 4 Salud y eje 9 Equidad Laboral y 1 Económico.</w:t>
      </w:r>
    </w:p>
    <w:p w14:paraId="114A1CAD" w14:textId="7E2734FC" w:rsidR="00A93066" w:rsidRPr="00073CA5" w:rsidRDefault="00A93066" w:rsidP="00073CA5">
      <w:pPr>
        <w:pStyle w:val="Tabla"/>
        <w:jc w:val="center"/>
        <w:rPr>
          <w:b/>
          <w:bCs/>
        </w:rPr>
      </w:pPr>
      <w:r w:rsidRPr="00073CA5">
        <w:rPr>
          <w:b/>
          <w:bCs/>
        </w:rPr>
        <w:t xml:space="preserve">Tabla </w:t>
      </w:r>
      <w:r w:rsidR="002A015D">
        <w:rPr>
          <w:b/>
          <w:bCs/>
        </w:rPr>
        <w:t>2</w:t>
      </w:r>
      <w:r w:rsidR="009C105D">
        <w:rPr>
          <w:b/>
          <w:bCs/>
        </w:rPr>
        <w:t>3</w:t>
      </w:r>
    </w:p>
    <w:p w14:paraId="232FB38F" w14:textId="77777777" w:rsidR="00E32ABE" w:rsidRPr="00337B99" w:rsidRDefault="00E32ABE" w:rsidP="00E32ABE">
      <w:pPr>
        <w:spacing w:after="0" w:line="240" w:lineRule="auto"/>
        <w:jc w:val="center"/>
        <w:rPr>
          <w:rFonts w:ascii="Calibri" w:eastAsia="Times New Roman" w:hAnsi="Calibri" w:cs="Times New Roman"/>
          <w:b/>
          <w:bCs/>
          <w:color w:val="000000"/>
          <w:lang w:eastAsia="es-GT"/>
        </w:rPr>
      </w:pPr>
      <w:r w:rsidRPr="00337B99">
        <w:rPr>
          <w:rFonts w:ascii="Calibri" w:eastAsia="Times New Roman" w:hAnsi="Calibri" w:cs="Times New Roman"/>
          <w:b/>
          <w:bCs/>
          <w:color w:val="000000"/>
          <w:lang w:eastAsia="es-GT"/>
        </w:rPr>
        <w:t>Presupuesto Vinculado al CPEG en el Primer Semestre 2021</w:t>
      </w:r>
    </w:p>
    <w:p w14:paraId="550CB537" w14:textId="78084C63" w:rsidR="00963B72" w:rsidRDefault="00A93066" w:rsidP="00153122">
      <w:pPr>
        <w:tabs>
          <w:tab w:val="left" w:pos="2250"/>
        </w:tabs>
        <w:spacing w:after="0" w:line="360" w:lineRule="auto"/>
        <w:jc w:val="center"/>
        <w:rPr>
          <w:b/>
          <w:bCs/>
        </w:rPr>
      </w:pPr>
      <w:r w:rsidRPr="00A93066">
        <w:rPr>
          <w:b/>
          <w:bCs/>
        </w:rPr>
        <w:t>por Eje de la PNPDIM a nivel nacional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
        <w:gridCol w:w="2405"/>
        <w:gridCol w:w="814"/>
        <w:gridCol w:w="814"/>
        <w:gridCol w:w="739"/>
        <w:gridCol w:w="739"/>
        <w:gridCol w:w="1433"/>
        <w:gridCol w:w="1586"/>
      </w:tblGrid>
      <w:tr w:rsidR="0029075E" w:rsidRPr="00950420" w14:paraId="6EED36C4" w14:textId="77777777" w:rsidTr="00806D49">
        <w:trPr>
          <w:trHeight w:val="885"/>
          <w:tblHeader/>
        </w:trPr>
        <w:tc>
          <w:tcPr>
            <w:tcW w:w="0" w:type="auto"/>
            <w:gridSpan w:val="2"/>
            <w:shd w:val="clear" w:color="000000" w:fill="1F4E78"/>
            <w:vAlign w:val="center"/>
          </w:tcPr>
          <w:p w14:paraId="4972BFA4" w14:textId="76A68C74" w:rsidR="0029075E" w:rsidRPr="00950420" w:rsidRDefault="0029075E" w:rsidP="00BE3035">
            <w:pPr>
              <w:spacing w:after="0" w:line="240" w:lineRule="auto"/>
              <w:jc w:val="center"/>
              <w:rPr>
                <w:rFonts w:ascii="Calibri" w:eastAsia="Times New Roman" w:hAnsi="Calibri" w:cs="Times New Roman"/>
                <w:b/>
                <w:bCs/>
                <w:color w:val="F2F2F2"/>
                <w:sz w:val="16"/>
                <w:lang w:eastAsia="es-GT"/>
              </w:rPr>
            </w:pPr>
            <w:r w:rsidRPr="00950420">
              <w:rPr>
                <w:rFonts w:ascii="Calibri" w:eastAsia="Times New Roman" w:hAnsi="Calibri" w:cs="Times New Roman"/>
                <w:b/>
                <w:bCs/>
                <w:color w:val="F2F2F2"/>
                <w:sz w:val="16"/>
                <w:lang w:eastAsia="es-GT"/>
              </w:rPr>
              <w:t>EJE</w:t>
            </w:r>
          </w:p>
        </w:tc>
        <w:tc>
          <w:tcPr>
            <w:tcW w:w="0" w:type="auto"/>
            <w:gridSpan w:val="2"/>
            <w:shd w:val="clear" w:color="000000" w:fill="1F4E78"/>
            <w:vAlign w:val="center"/>
            <w:hideMark/>
          </w:tcPr>
          <w:p w14:paraId="522EE206" w14:textId="77777777" w:rsidR="0029075E" w:rsidRPr="00950420" w:rsidRDefault="0029075E" w:rsidP="00BE3035">
            <w:pPr>
              <w:spacing w:after="0" w:line="240" w:lineRule="auto"/>
              <w:jc w:val="center"/>
              <w:rPr>
                <w:rFonts w:ascii="Calibri" w:eastAsia="Times New Roman" w:hAnsi="Calibri" w:cs="Times New Roman"/>
                <w:b/>
                <w:bCs/>
                <w:color w:val="F2F2F2"/>
                <w:sz w:val="16"/>
                <w:lang w:eastAsia="es-GT"/>
              </w:rPr>
            </w:pPr>
            <w:r w:rsidRPr="00950420">
              <w:rPr>
                <w:rFonts w:ascii="Calibri" w:eastAsia="Times New Roman" w:hAnsi="Calibri" w:cs="Times New Roman"/>
                <w:b/>
                <w:bCs/>
                <w:color w:val="F2F2F2"/>
                <w:sz w:val="16"/>
                <w:lang w:eastAsia="es-GT"/>
              </w:rPr>
              <w:t>Centralizadas</w:t>
            </w:r>
          </w:p>
        </w:tc>
        <w:tc>
          <w:tcPr>
            <w:tcW w:w="0" w:type="auto"/>
            <w:gridSpan w:val="2"/>
            <w:shd w:val="clear" w:color="000000" w:fill="1F4E78"/>
            <w:vAlign w:val="center"/>
            <w:hideMark/>
          </w:tcPr>
          <w:p w14:paraId="6BA1EC26" w14:textId="77777777" w:rsidR="0029075E" w:rsidRPr="00950420" w:rsidRDefault="0029075E" w:rsidP="00BE3035">
            <w:pPr>
              <w:spacing w:after="0" w:line="240" w:lineRule="auto"/>
              <w:jc w:val="center"/>
              <w:rPr>
                <w:rFonts w:ascii="Calibri" w:eastAsia="Times New Roman" w:hAnsi="Calibri" w:cs="Times New Roman"/>
                <w:b/>
                <w:bCs/>
                <w:color w:val="F2F2F2"/>
                <w:sz w:val="16"/>
                <w:lang w:eastAsia="es-GT"/>
              </w:rPr>
            </w:pPr>
            <w:r w:rsidRPr="00950420">
              <w:rPr>
                <w:rFonts w:ascii="Calibri" w:eastAsia="Times New Roman" w:hAnsi="Calibri" w:cs="Times New Roman"/>
                <w:b/>
                <w:bCs/>
                <w:color w:val="F2F2F2"/>
                <w:sz w:val="16"/>
                <w:lang w:eastAsia="es-GT"/>
              </w:rPr>
              <w:t>Descentralizadas</w:t>
            </w:r>
          </w:p>
        </w:tc>
        <w:tc>
          <w:tcPr>
            <w:tcW w:w="0" w:type="auto"/>
            <w:shd w:val="clear" w:color="000000" w:fill="1F4E78"/>
            <w:vAlign w:val="center"/>
            <w:hideMark/>
          </w:tcPr>
          <w:p w14:paraId="3DED6431" w14:textId="77777777" w:rsidR="0029075E" w:rsidRPr="00950420" w:rsidRDefault="0029075E" w:rsidP="00BE3035">
            <w:pPr>
              <w:spacing w:after="0" w:line="240" w:lineRule="auto"/>
              <w:jc w:val="center"/>
              <w:rPr>
                <w:rFonts w:ascii="Calibri" w:eastAsia="Times New Roman" w:hAnsi="Calibri" w:cs="Times New Roman"/>
                <w:b/>
                <w:bCs/>
                <w:color w:val="F2F2F2"/>
                <w:sz w:val="16"/>
                <w:lang w:eastAsia="es-GT"/>
              </w:rPr>
            </w:pPr>
            <w:r w:rsidRPr="00950420">
              <w:rPr>
                <w:rFonts w:ascii="Calibri" w:eastAsia="Times New Roman" w:hAnsi="Calibri" w:cs="Times New Roman"/>
                <w:b/>
                <w:bCs/>
                <w:color w:val="F2F2F2"/>
                <w:sz w:val="16"/>
                <w:lang w:eastAsia="es-GT"/>
              </w:rPr>
              <w:t>Gobiernos Locales</w:t>
            </w:r>
          </w:p>
        </w:tc>
        <w:tc>
          <w:tcPr>
            <w:tcW w:w="0" w:type="auto"/>
            <w:shd w:val="clear" w:color="000000" w:fill="1F4E78"/>
            <w:vAlign w:val="center"/>
            <w:hideMark/>
          </w:tcPr>
          <w:p w14:paraId="57298557" w14:textId="77777777" w:rsidR="0029075E" w:rsidRPr="00950420" w:rsidRDefault="0029075E" w:rsidP="00BE3035">
            <w:pPr>
              <w:spacing w:after="0" w:line="240" w:lineRule="auto"/>
              <w:jc w:val="center"/>
              <w:rPr>
                <w:rFonts w:ascii="Calibri" w:eastAsia="Times New Roman" w:hAnsi="Calibri" w:cs="Times New Roman"/>
                <w:b/>
                <w:bCs/>
                <w:color w:val="F2F2F2"/>
                <w:sz w:val="16"/>
                <w:lang w:eastAsia="es-GT"/>
              </w:rPr>
            </w:pPr>
            <w:r w:rsidRPr="00950420">
              <w:rPr>
                <w:rFonts w:ascii="Calibri" w:eastAsia="Times New Roman" w:hAnsi="Calibri" w:cs="Times New Roman"/>
                <w:b/>
                <w:bCs/>
                <w:color w:val="F2F2F2"/>
                <w:sz w:val="16"/>
                <w:lang w:eastAsia="es-GT"/>
              </w:rPr>
              <w:t>TOTAL</w:t>
            </w:r>
          </w:p>
        </w:tc>
      </w:tr>
      <w:tr w:rsidR="00243C00" w:rsidRPr="00950420" w14:paraId="40F7E389" w14:textId="77777777" w:rsidTr="00806D49">
        <w:trPr>
          <w:trHeight w:val="408"/>
        </w:trPr>
        <w:tc>
          <w:tcPr>
            <w:tcW w:w="0" w:type="auto"/>
            <w:shd w:val="clear" w:color="000000" w:fill="BDD7EE"/>
            <w:vAlign w:val="center"/>
          </w:tcPr>
          <w:p w14:paraId="430205D2" w14:textId="2462C736" w:rsidR="0029075E" w:rsidRPr="00950420" w:rsidRDefault="0029075E" w:rsidP="00BE3035">
            <w:pPr>
              <w:spacing w:after="0" w:line="240" w:lineRule="auto"/>
              <w:jc w:val="center"/>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1</w:t>
            </w:r>
          </w:p>
        </w:tc>
        <w:tc>
          <w:tcPr>
            <w:tcW w:w="0" w:type="auto"/>
            <w:shd w:val="clear" w:color="000000" w:fill="BDD7EE"/>
            <w:vAlign w:val="center"/>
            <w:hideMark/>
          </w:tcPr>
          <w:p w14:paraId="1D5AE714" w14:textId="40C74934" w:rsidR="0029075E" w:rsidRPr="00950420" w:rsidRDefault="0029075E" w:rsidP="00BE3035">
            <w:pPr>
              <w:spacing w:after="0" w:line="240" w:lineRule="auto"/>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Económico</w:t>
            </w:r>
          </w:p>
        </w:tc>
        <w:tc>
          <w:tcPr>
            <w:tcW w:w="0" w:type="auto"/>
            <w:gridSpan w:val="2"/>
            <w:shd w:val="clear" w:color="000000" w:fill="BDD7EE"/>
            <w:noWrap/>
            <w:vAlign w:val="center"/>
            <w:hideMark/>
          </w:tcPr>
          <w:p w14:paraId="435FB711"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31,537,455.94 </w:t>
            </w:r>
          </w:p>
        </w:tc>
        <w:tc>
          <w:tcPr>
            <w:tcW w:w="0" w:type="auto"/>
            <w:gridSpan w:val="2"/>
            <w:shd w:val="clear" w:color="000000" w:fill="BDD7EE"/>
            <w:noWrap/>
            <w:vAlign w:val="center"/>
            <w:hideMark/>
          </w:tcPr>
          <w:p w14:paraId="49FEE7FC"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55,123,488.69 </w:t>
            </w:r>
          </w:p>
        </w:tc>
        <w:tc>
          <w:tcPr>
            <w:tcW w:w="0" w:type="auto"/>
            <w:shd w:val="clear" w:color="000000" w:fill="BDD7EE"/>
            <w:noWrap/>
            <w:vAlign w:val="center"/>
            <w:hideMark/>
          </w:tcPr>
          <w:p w14:paraId="53167C19"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139,243,246.72 </w:t>
            </w:r>
          </w:p>
        </w:tc>
        <w:tc>
          <w:tcPr>
            <w:tcW w:w="0" w:type="auto"/>
            <w:shd w:val="clear" w:color="000000" w:fill="BDD7EE"/>
            <w:noWrap/>
            <w:vAlign w:val="center"/>
            <w:hideMark/>
          </w:tcPr>
          <w:p w14:paraId="20A3A4D9"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225,904,191.35 </w:t>
            </w:r>
          </w:p>
        </w:tc>
      </w:tr>
      <w:tr w:rsidR="00243C00" w:rsidRPr="00950420" w14:paraId="66472530" w14:textId="77777777" w:rsidTr="00806D49">
        <w:trPr>
          <w:trHeight w:val="541"/>
        </w:trPr>
        <w:tc>
          <w:tcPr>
            <w:tcW w:w="0" w:type="auto"/>
            <w:shd w:val="clear" w:color="000000" w:fill="BDD7EE"/>
            <w:vAlign w:val="center"/>
          </w:tcPr>
          <w:p w14:paraId="627C27B8" w14:textId="7C812C32" w:rsidR="0029075E" w:rsidRPr="00950420" w:rsidRDefault="0029075E" w:rsidP="00BE3035">
            <w:pPr>
              <w:spacing w:after="0" w:line="240" w:lineRule="auto"/>
              <w:jc w:val="center"/>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2</w:t>
            </w:r>
          </w:p>
        </w:tc>
        <w:tc>
          <w:tcPr>
            <w:tcW w:w="0" w:type="auto"/>
            <w:shd w:val="clear" w:color="000000" w:fill="BDD7EE"/>
            <w:vAlign w:val="center"/>
            <w:hideMark/>
          </w:tcPr>
          <w:p w14:paraId="00E0DC49" w14:textId="04BC0862" w:rsidR="0029075E" w:rsidRPr="00950420" w:rsidRDefault="0029075E" w:rsidP="00BE3035">
            <w:pPr>
              <w:spacing w:after="0" w:line="240" w:lineRule="auto"/>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Recursos Naturales, Tierra y Vivienda</w:t>
            </w:r>
          </w:p>
        </w:tc>
        <w:tc>
          <w:tcPr>
            <w:tcW w:w="0" w:type="auto"/>
            <w:gridSpan w:val="2"/>
            <w:shd w:val="clear" w:color="000000" w:fill="BDD7EE"/>
            <w:noWrap/>
            <w:vAlign w:val="center"/>
            <w:hideMark/>
          </w:tcPr>
          <w:p w14:paraId="4D6F8402"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499,228.07 </w:t>
            </w:r>
          </w:p>
        </w:tc>
        <w:tc>
          <w:tcPr>
            <w:tcW w:w="0" w:type="auto"/>
            <w:gridSpan w:val="2"/>
            <w:shd w:val="clear" w:color="000000" w:fill="BDD7EE"/>
            <w:noWrap/>
            <w:vAlign w:val="center"/>
            <w:hideMark/>
          </w:tcPr>
          <w:p w14:paraId="4A281000"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20,076,146.46 </w:t>
            </w:r>
          </w:p>
        </w:tc>
        <w:tc>
          <w:tcPr>
            <w:tcW w:w="0" w:type="auto"/>
            <w:shd w:val="clear" w:color="000000" w:fill="BDD7EE"/>
            <w:noWrap/>
            <w:vAlign w:val="center"/>
            <w:hideMark/>
          </w:tcPr>
          <w:p w14:paraId="7DFABC0B"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63,522,765.38 </w:t>
            </w:r>
          </w:p>
        </w:tc>
        <w:tc>
          <w:tcPr>
            <w:tcW w:w="0" w:type="auto"/>
            <w:shd w:val="clear" w:color="000000" w:fill="BDD7EE"/>
            <w:noWrap/>
            <w:vAlign w:val="center"/>
            <w:hideMark/>
          </w:tcPr>
          <w:p w14:paraId="170CEF5B"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84,098,139.91 </w:t>
            </w:r>
          </w:p>
        </w:tc>
      </w:tr>
      <w:tr w:rsidR="00243C00" w:rsidRPr="00950420" w14:paraId="57FEDDAA" w14:textId="77777777" w:rsidTr="00806D49">
        <w:trPr>
          <w:trHeight w:val="422"/>
        </w:trPr>
        <w:tc>
          <w:tcPr>
            <w:tcW w:w="0" w:type="auto"/>
            <w:shd w:val="clear" w:color="000000" w:fill="BDD7EE"/>
            <w:vAlign w:val="center"/>
          </w:tcPr>
          <w:p w14:paraId="12F50EC5" w14:textId="0289623E" w:rsidR="0029075E" w:rsidRPr="00950420" w:rsidRDefault="0029075E" w:rsidP="00BE3035">
            <w:pPr>
              <w:spacing w:after="0" w:line="240" w:lineRule="auto"/>
              <w:jc w:val="center"/>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3</w:t>
            </w:r>
          </w:p>
        </w:tc>
        <w:tc>
          <w:tcPr>
            <w:tcW w:w="0" w:type="auto"/>
            <w:shd w:val="clear" w:color="000000" w:fill="BDD7EE"/>
            <w:vAlign w:val="center"/>
            <w:hideMark/>
          </w:tcPr>
          <w:p w14:paraId="526A85F1" w14:textId="5C36E1E1" w:rsidR="0029075E" w:rsidRPr="00950420" w:rsidRDefault="0029075E" w:rsidP="00BE3035">
            <w:pPr>
              <w:spacing w:after="0" w:line="240" w:lineRule="auto"/>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Educación</w:t>
            </w:r>
          </w:p>
        </w:tc>
        <w:tc>
          <w:tcPr>
            <w:tcW w:w="0" w:type="auto"/>
            <w:gridSpan w:val="2"/>
            <w:shd w:val="clear" w:color="000000" w:fill="BDD7EE"/>
            <w:noWrap/>
            <w:vAlign w:val="center"/>
            <w:hideMark/>
          </w:tcPr>
          <w:p w14:paraId="5BA150C8"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50,937,157.35 </w:t>
            </w:r>
          </w:p>
        </w:tc>
        <w:tc>
          <w:tcPr>
            <w:tcW w:w="0" w:type="auto"/>
            <w:gridSpan w:val="2"/>
            <w:shd w:val="clear" w:color="000000" w:fill="BDD7EE"/>
            <w:noWrap/>
            <w:vAlign w:val="center"/>
            <w:hideMark/>
          </w:tcPr>
          <w:p w14:paraId="56A4E784"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58,889,621.02 </w:t>
            </w:r>
          </w:p>
        </w:tc>
        <w:tc>
          <w:tcPr>
            <w:tcW w:w="0" w:type="auto"/>
            <w:shd w:val="clear" w:color="000000" w:fill="BDD7EE"/>
            <w:noWrap/>
            <w:vAlign w:val="center"/>
            <w:hideMark/>
          </w:tcPr>
          <w:p w14:paraId="0F528B26"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51,994,387.48 </w:t>
            </w:r>
          </w:p>
        </w:tc>
        <w:tc>
          <w:tcPr>
            <w:tcW w:w="0" w:type="auto"/>
            <w:shd w:val="clear" w:color="000000" w:fill="BDD7EE"/>
            <w:noWrap/>
            <w:vAlign w:val="center"/>
            <w:hideMark/>
          </w:tcPr>
          <w:p w14:paraId="6CB0DC43"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161,821,165.85 </w:t>
            </w:r>
          </w:p>
        </w:tc>
      </w:tr>
      <w:tr w:rsidR="00243C00" w:rsidRPr="00950420" w14:paraId="6FBE1B72" w14:textId="77777777" w:rsidTr="00806D49">
        <w:trPr>
          <w:trHeight w:val="414"/>
        </w:trPr>
        <w:tc>
          <w:tcPr>
            <w:tcW w:w="0" w:type="auto"/>
            <w:shd w:val="clear" w:color="000000" w:fill="BDD7EE"/>
            <w:vAlign w:val="center"/>
          </w:tcPr>
          <w:p w14:paraId="7D0C5100" w14:textId="6B8AA389" w:rsidR="0029075E" w:rsidRPr="00950420" w:rsidRDefault="0029075E" w:rsidP="00BE3035">
            <w:pPr>
              <w:spacing w:after="0" w:line="240" w:lineRule="auto"/>
              <w:jc w:val="center"/>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4</w:t>
            </w:r>
          </w:p>
        </w:tc>
        <w:tc>
          <w:tcPr>
            <w:tcW w:w="0" w:type="auto"/>
            <w:shd w:val="clear" w:color="000000" w:fill="BDD7EE"/>
            <w:vAlign w:val="center"/>
            <w:hideMark/>
          </w:tcPr>
          <w:p w14:paraId="678AAF2D" w14:textId="6EDFD646" w:rsidR="0029075E" w:rsidRPr="00950420" w:rsidRDefault="0029075E" w:rsidP="00BE3035">
            <w:pPr>
              <w:spacing w:after="0" w:line="240" w:lineRule="auto"/>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Salud</w:t>
            </w:r>
          </w:p>
        </w:tc>
        <w:tc>
          <w:tcPr>
            <w:tcW w:w="0" w:type="auto"/>
            <w:gridSpan w:val="2"/>
            <w:shd w:val="clear" w:color="000000" w:fill="BDD7EE"/>
            <w:noWrap/>
            <w:vAlign w:val="center"/>
            <w:hideMark/>
          </w:tcPr>
          <w:p w14:paraId="4E6F4B2E"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404,114,683.62 </w:t>
            </w:r>
          </w:p>
        </w:tc>
        <w:tc>
          <w:tcPr>
            <w:tcW w:w="0" w:type="auto"/>
            <w:gridSpan w:val="2"/>
            <w:shd w:val="clear" w:color="000000" w:fill="BDD7EE"/>
            <w:noWrap/>
            <w:vAlign w:val="center"/>
            <w:hideMark/>
          </w:tcPr>
          <w:p w14:paraId="1EA40AE4"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39,962,573.50 </w:t>
            </w:r>
          </w:p>
        </w:tc>
        <w:tc>
          <w:tcPr>
            <w:tcW w:w="0" w:type="auto"/>
            <w:shd w:val="clear" w:color="000000" w:fill="BDD7EE"/>
            <w:noWrap/>
            <w:vAlign w:val="center"/>
            <w:hideMark/>
          </w:tcPr>
          <w:p w14:paraId="164284E1"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220,852,745.02 </w:t>
            </w:r>
          </w:p>
        </w:tc>
        <w:tc>
          <w:tcPr>
            <w:tcW w:w="0" w:type="auto"/>
            <w:shd w:val="clear" w:color="000000" w:fill="BDD7EE"/>
            <w:noWrap/>
            <w:vAlign w:val="center"/>
            <w:hideMark/>
          </w:tcPr>
          <w:p w14:paraId="10F05A1F"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664,930,002.14 </w:t>
            </w:r>
          </w:p>
        </w:tc>
      </w:tr>
      <w:tr w:rsidR="00243C00" w:rsidRPr="00950420" w14:paraId="6F4D2ECA" w14:textId="77777777" w:rsidTr="00806D49">
        <w:trPr>
          <w:trHeight w:val="420"/>
        </w:trPr>
        <w:tc>
          <w:tcPr>
            <w:tcW w:w="0" w:type="auto"/>
            <w:shd w:val="clear" w:color="000000" w:fill="BDD7EE"/>
            <w:vAlign w:val="center"/>
          </w:tcPr>
          <w:p w14:paraId="13B904E2" w14:textId="40B0B5C2" w:rsidR="0029075E" w:rsidRPr="00950420" w:rsidRDefault="0029075E" w:rsidP="00BE3035">
            <w:pPr>
              <w:spacing w:after="0" w:line="240" w:lineRule="auto"/>
              <w:jc w:val="center"/>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5</w:t>
            </w:r>
          </w:p>
        </w:tc>
        <w:tc>
          <w:tcPr>
            <w:tcW w:w="0" w:type="auto"/>
            <w:shd w:val="clear" w:color="000000" w:fill="BDD7EE"/>
            <w:vAlign w:val="center"/>
            <w:hideMark/>
          </w:tcPr>
          <w:p w14:paraId="6B2FC97D" w14:textId="5C9CEA03" w:rsidR="0029075E" w:rsidRPr="00950420" w:rsidRDefault="0029075E" w:rsidP="00BE3035">
            <w:pPr>
              <w:spacing w:after="0" w:line="240" w:lineRule="auto"/>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Violencia Contra las Mujeres</w:t>
            </w:r>
          </w:p>
        </w:tc>
        <w:tc>
          <w:tcPr>
            <w:tcW w:w="0" w:type="auto"/>
            <w:gridSpan w:val="2"/>
            <w:shd w:val="clear" w:color="000000" w:fill="BDD7EE"/>
            <w:noWrap/>
            <w:vAlign w:val="center"/>
            <w:hideMark/>
          </w:tcPr>
          <w:p w14:paraId="2351C1F7"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1,686,417,929.42 </w:t>
            </w:r>
          </w:p>
        </w:tc>
        <w:tc>
          <w:tcPr>
            <w:tcW w:w="0" w:type="auto"/>
            <w:gridSpan w:val="2"/>
            <w:shd w:val="clear" w:color="000000" w:fill="BDD7EE"/>
            <w:noWrap/>
            <w:vAlign w:val="center"/>
            <w:hideMark/>
          </w:tcPr>
          <w:p w14:paraId="128AD675"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317,467,823.69 </w:t>
            </w:r>
          </w:p>
        </w:tc>
        <w:tc>
          <w:tcPr>
            <w:tcW w:w="0" w:type="auto"/>
            <w:shd w:val="clear" w:color="000000" w:fill="BDD7EE"/>
            <w:noWrap/>
            <w:vAlign w:val="center"/>
            <w:hideMark/>
          </w:tcPr>
          <w:p w14:paraId="7352030B"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47,593,298.80 </w:t>
            </w:r>
          </w:p>
        </w:tc>
        <w:tc>
          <w:tcPr>
            <w:tcW w:w="0" w:type="auto"/>
            <w:shd w:val="clear" w:color="000000" w:fill="BDD7EE"/>
            <w:noWrap/>
            <w:vAlign w:val="center"/>
            <w:hideMark/>
          </w:tcPr>
          <w:p w14:paraId="2C4BB435"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2,051,479,051.91 </w:t>
            </w:r>
          </w:p>
        </w:tc>
      </w:tr>
      <w:tr w:rsidR="00243C00" w:rsidRPr="00950420" w14:paraId="7C531FFC" w14:textId="77777777" w:rsidTr="00806D49">
        <w:trPr>
          <w:trHeight w:val="398"/>
        </w:trPr>
        <w:tc>
          <w:tcPr>
            <w:tcW w:w="0" w:type="auto"/>
            <w:shd w:val="clear" w:color="000000" w:fill="BDD7EE"/>
            <w:vAlign w:val="center"/>
          </w:tcPr>
          <w:p w14:paraId="758C67C5" w14:textId="5639AF1D" w:rsidR="0029075E" w:rsidRPr="00950420" w:rsidRDefault="0029075E" w:rsidP="00BE3035">
            <w:pPr>
              <w:spacing w:after="0" w:line="240" w:lineRule="auto"/>
              <w:jc w:val="center"/>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6</w:t>
            </w:r>
          </w:p>
        </w:tc>
        <w:tc>
          <w:tcPr>
            <w:tcW w:w="0" w:type="auto"/>
            <w:shd w:val="clear" w:color="000000" w:fill="BDD7EE"/>
            <w:vAlign w:val="center"/>
            <w:hideMark/>
          </w:tcPr>
          <w:p w14:paraId="7F08FDE8" w14:textId="0F2A2B76" w:rsidR="0029075E" w:rsidRPr="00950420" w:rsidRDefault="0029075E" w:rsidP="00BE3035">
            <w:pPr>
              <w:spacing w:after="0" w:line="240" w:lineRule="auto"/>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Equidad Jurídica</w:t>
            </w:r>
          </w:p>
        </w:tc>
        <w:tc>
          <w:tcPr>
            <w:tcW w:w="0" w:type="auto"/>
            <w:gridSpan w:val="2"/>
            <w:shd w:val="clear" w:color="000000" w:fill="BDD7EE"/>
            <w:noWrap/>
            <w:vAlign w:val="center"/>
            <w:hideMark/>
          </w:tcPr>
          <w:p w14:paraId="1701974F"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   </w:t>
            </w:r>
          </w:p>
        </w:tc>
        <w:tc>
          <w:tcPr>
            <w:tcW w:w="0" w:type="auto"/>
            <w:gridSpan w:val="2"/>
            <w:shd w:val="clear" w:color="000000" w:fill="BDD7EE"/>
            <w:noWrap/>
            <w:vAlign w:val="center"/>
            <w:hideMark/>
          </w:tcPr>
          <w:p w14:paraId="33166613"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767,825.03 </w:t>
            </w:r>
          </w:p>
        </w:tc>
        <w:tc>
          <w:tcPr>
            <w:tcW w:w="0" w:type="auto"/>
            <w:shd w:val="clear" w:color="000000" w:fill="BDD7EE"/>
            <w:noWrap/>
            <w:vAlign w:val="center"/>
            <w:hideMark/>
          </w:tcPr>
          <w:p w14:paraId="7D56BF77"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1,912,281.64 </w:t>
            </w:r>
          </w:p>
        </w:tc>
        <w:tc>
          <w:tcPr>
            <w:tcW w:w="0" w:type="auto"/>
            <w:shd w:val="clear" w:color="000000" w:fill="BDD7EE"/>
            <w:noWrap/>
            <w:vAlign w:val="center"/>
            <w:hideMark/>
          </w:tcPr>
          <w:p w14:paraId="03FC2CE6"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2,680,106.67 </w:t>
            </w:r>
          </w:p>
        </w:tc>
      </w:tr>
      <w:tr w:rsidR="00243C00" w:rsidRPr="00950420" w14:paraId="5531C982" w14:textId="77777777" w:rsidTr="00806D49">
        <w:trPr>
          <w:trHeight w:val="432"/>
        </w:trPr>
        <w:tc>
          <w:tcPr>
            <w:tcW w:w="0" w:type="auto"/>
            <w:shd w:val="clear" w:color="000000" w:fill="BDD7EE"/>
            <w:vAlign w:val="center"/>
          </w:tcPr>
          <w:p w14:paraId="146EF514" w14:textId="7DFFCAFE" w:rsidR="0029075E" w:rsidRPr="00950420" w:rsidRDefault="0029075E" w:rsidP="00BE3035">
            <w:pPr>
              <w:spacing w:after="0" w:line="240" w:lineRule="auto"/>
              <w:jc w:val="center"/>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7</w:t>
            </w:r>
          </w:p>
        </w:tc>
        <w:tc>
          <w:tcPr>
            <w:tcW w:w="0" w:type="auto"/>
            <w:shd w:val="clear" w:color="000000" w:fill="BDD7EE"/>
            <w:vAlign w:val="center"/>
            <w:hideMark/>
          </w:tcPr>
          <w:p w14:paraId="1BFEFBBD" w14:textId="62CCEC85" w:rsidR="0029075E" w:rsidRPr="00950420" w:rsidRDefault="0029075E" w:rsidP="00BE3035">
            <w:pPr>
              <w:spacing w:after="0" w:line="240" w:lineRule="auto"/>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Racismo y Discriminación</w:t>
            </w:r>
          </w:p>
        </w:tc>
        <w:tc>
          <w:tcPr>
            <w:tcW w:w="0" w:type="auto"/>
            <w:gridSpan w:val="2"/>
            <w:shd w:val="clear" w:color="000000" w:fill="BDD7EE"/>
            <w:noWrap/>
            <w:vAlign w:val="center"/>
            <w:hideMark/>
          </w:tcPr>
          <w:p w14:paraId="200C386F"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   </w:t>
            </w:r>
          </w:p>
        </w:tc>
        <w:tc>
          <w:tcPr>
            <w:tcW w:w="0" w:type="auto"/>
            <w:gridSpan w:val="2"/>
            <w:shd w:val="clear" w:color="000000" w:fill="BDD7EE"/>
            <w:noWrap/>
            <w:vAlign w:val="center"/>
            <w:hideMark/>
          </w:tcPr>
          <w:p w14:paraId="0FDDCBB3"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   </w:t>
            </w:r>
          </w:p>
        </w:tc>
        <w:tc>
          <w:tcPr>
            <w:tcW w:w="0" w:type="auto"/>
            <w:shd w:val="clear" w:color="000000" w:fill="BDD7EE"/>
            <w:noWrap/>
            <w:vAlign w:val="center"/>
            <w:hideMark/>
          </w:tcPr>
          <w:p w14:paraId="4ADC4F8B"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13,363,091.41 </w:t>
            </w:r>
          </w:p>
        </w:tc>
        <w:tc>
          <w:tcPr>
            <w:tcW w:w="0" w:type="auto"/>
            <w:shd w:val="clear" w:color="000000" w:fill="BDD7EE"/>
            <w:noWrap/>
            <w:vAlign w:val="center"/>
            <w:hideMark/>
          </w:tcPr>
          <w:p w14:paraId="00E46636"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13,363,091.41 </w:t>
            </w:r>
          </w:p>
        </w:tc>
      </w:tr>
      <w:tr w:rsidR="00243C00" w:rsidRPr="00950420" w14:paraId="6369F353" w14:textId="77777777" w:rsidTr="00637378">
        <w:trPr>
          <w:trHeight w:val="410"/>
        </w:trPr>
        <w:tc>
          <w:tcPr>
            <w:tcW w:w="0" w:type="auto"/>
            <w:shd w:val="clear" w:color="000000" w:fill="BDD7EE"/>
            <w:vAlign w:val="center"/>
          </w:tcPr>
          <w:p w14:paraId="080E51C1" w14:textId="591B5BD9" w:rsidR="0029075E" w:rsidRPr="00950420" w:rsidRDefault="0029075E" w:rsidP="00BE3035">
            <w:pPr>
              <w:spacing w:after="0" w:line="240" w:lineRule="auto"/>
              <w:jc w:val="center"/>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8</w:t>
            </w:r>
          </w:p>
        </w:tc>
        <w:tc>
          <w:tcPr>
            <w:tcW w:w="0" w:type="auto"/>
            <w:shd w:val="clear" w:color="000000" w:fill="BDD7EE"/>
            <w:vAlign w:val="center"/>
            <w:hideMark/>
          </w:tcPr>
          <w:p w14:paraId="720C5A4A" w14:textId="7046B2FA" w:rsidR="0029075E" w:rsidRPr="00950420" w:rsidRDefault="0029075E" w:rsidP="00BE3035">
            <w:pPr>
              <w:spacing w:after="0" w:line="240" w:lineRule="auto"/>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Desarrollo Cultural</w:t>
            </w:r>
          </w:p>
        </w:tc>
        <w:tc>
          <w:tcPr>
            <w:tcW w:w="0" w:type="auto"/>
            <w:gridSpan w:val="2"/>
            <w:shd w:val="clear" w:color="000000" w:fill="BDD7EE"/>
            <w:noWrap/>
            <w:vAlign w:val="center"/>
            <w:hideMark/>
          </w:tcPr>
          <w:p w14:paraId="5EF0BAEC"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3,820,651.98 </w:t>
            </w:r>
          </w:p>
        </w:tc>
        <w:tc>
          <w:tcPr>
            <w:tcW w:w="0" w:type="auto"/>
            <w:gridSpan w:val="2"/>
            <w:shd w:val="clear" w:color="000000" w:fill="BDD7EE"/>
            <w:noWrap/>
            <w:vAlign w:val="center"/>
            <w:hideMark/>
          </w:tcPr>
          <w:p w14:paraId="543FDB41"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22,320,461.24 </w:t>
            </w:r>
          </w:p>
        </w:tc>
        <w:tc>
          <w:tcPr>
            <w:tcW w:w="0" w:type="auto"/>
            <w:shd w:val="clear" w:color="000000" w:fill="BDD7EE"/>
            <w:noWrap/>
            <w:vAlign w:val="center"/>
            <w:hideMark/>
          </w:tcPr>
          <w:p w14:paraId="30CB3F8E"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28,190,296.07 </w:t>
            </w:r>
          </w:p>
        </w:tc>
        <w:tc>
          <w:tcPr>
            <w:tcW w:w="0" w:type="auto"/>
            <w:shd w:val="clear" w:color="000000" w:fill="BDD7EE"/>
            <w:noWrap/>
            <w:vAlign w:val="center"/>
            <w:hideMark/>
          </w:tcPr>
          <w:p w14:paraId="0051F67E"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54,331,409.29 </w:t>
            </w:r>
          </w:p>
        </w:tc>
      </w:tr>
      <w:tr w:rsidR="00243C00" w:rsidRPr="00950420" w14:paraId="515EB0E7" w14:textId="77777777" w:rsidTr="009A6DE5">
        <w:trPr>
          <w:trHeight w:val="367"/>
        </w:trPr>
        <w:tc>
          <w:tcPr>
            <w:tcW w:w="0" w:type="auto"/>
            <w:shd w:val="clear" w:color="000000" w:fill="BDD7EE"/>
            <w:vAlign w:val="center"/>
          </w:tcPr>
          <w:p w14:paraId="7D877043" w14:textId="099F6B21" w:rsidR="0029075E" w:rsidRPr="00950420" w:rsidRDefault="0029075E" w:rsidP="00BE3035">
            <w:pPr>
              <w:spacing w:after="0" w:line="240" w:lineRule="auto"/>
              <w:jc w:val="center"/>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9</w:t>
            </w:r>
          </w:p>
        </w:tc>
        <w:tc>
          <w:tcPr>
            <w:tcW w:w="0" w:type="auto"/>
            <w:shd w:val="clear" w:color="000000" w:fill="BDD7EE"/>
            <w:vAlign w:val="center"/>
            <w:hideMark/>
          </w:tcPr>
          <w:p w14:paraId="72A88FCB" w14:textId="4DB3B8F6" w:rsidR="0029075E" w:rsidRPr="00950420" w:rsidRDefault="0029075E" w:rsidP="00BE3035">
            <w:pPr>
              <w:spacing w:after="0" w:line="240" w:lineRule="auto"/>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Equidad Laboral</w:t>
            </w:r>
          </w:p>
        </w:tc>
        <w:tc>
          <w:tcPr>
            <w:tcW w:w="0" w:type="auto"/>
            <w:gridSpan w:val="2"/>
            <w:shd w:val="clear" w:color="000000" w:fill="BDD7EE"/>
            <w:noWrap/>
            <w:vAlign w:val="center"/>
            <w:hideMark/>
          </w:tcPr>
          <w:p w14:paraId="47A14267"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90,948,266.08 </w:t>
            </w:r>
          </w:p>
        </w:tc>
        <w:tc>
          <w:tcPr>
            <w:tcW w:w="0" w:type="auto"/>
            <w:gridSpan w:val="2"/>
            <w:shd w:val="clear" w:color="000000" w:fill="BDD7EE"/>
            <w:noWrap/>
            <w:vAlign w:val="center"/>
            <w:hideMark/>
          </w:tcPr>
          <w:p w14:paraId="107D3360"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161,330,270.74 </w:t>
            </w:r>
          </w:p>
        </w:tc>
        <w:tc>
          <w:tcPr>
            <w:tcW w:w="0" w:type="auto"/>
            <w:shd w:val="clear" w:color="000000" w:fill="BDD7EE"/>
            <w:noWrap/>
            <w:vAlign w:val="center"/>
            <w:hideMark/>
          </w:tcPr>
          <w:p w14:paraId="2E28A811"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5,469,556.81 </w:t>
            </w:r>
          </w:p>
        </w:tc>
        <w:tc>
          <w:tcPr>
            <w:tcW w:w="0" w:type="auto"/>
            <w:shd w:val="clear" w:color="000000" w:fill="BDD7EE"/>
            <w:noWrap/>
            <w:vAlign w:val="center"/>
            <w:hideMark/>
          </w:tcPr>
          <w:p w14:paraId="68C464DF"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257,748,093.63 </w:t>
            </w:r>
          </w:p>
        </w:tc>
      </w:tr>
      <w:tr w:rsidR="00243C00" w:rsidRPr="00950420" w14:paraId="7088071D" w14:textId="77777777" w:rsidTr="007B3FA7">
        <w:trPr>
          <w:trHeight w:val="509"/>
        </w:trPr>
        <w:tc>
          <w:tcPr>
            <w:tcW w:w="0" w:type="auto"/>
            <w:shd w:val="clear" w:color="000000" w:fill="BDD7EE"/>
            <w:vAlign w:val="center"/>
          </w:tcPr>
          <w:p w14:paraId="7A28C212" w14:textId="21F394A4" w:rsidR="0029075E" w:rsidRPr="00950420" w:rsidRDefault="0029075E" w:rsidP="00BE3035">
            <w:pPr>
              <w:spacing w:after="0" w:line="240" w:lineRule="auto"/>
              <w:jc w:val="center"/>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lastRenderedPageBreak/>
              <w:t>10</w:t>
            </w:r>
          </w:p>
        </w:tc>
        <w:tc>
          <w:tcPr>
            <w:tcW w:w="0" w:type="auto"/>
            <w:shd w:val="clear" w:color="000000" w:fill="BDD7EE"/>
            <w:vAlign w:val="center"/>
            <w:hideMark/>
          </w:tcPr>
          <w:p w14:paraId="38B56B5B" w14:textId="01918299" w:rsidR="0029075E" w:rsidRPr="00950420" w:rsidRDefault="0029075E" w:rsidP="00BE3035">
            <w:pPr>
              <w:spacing w:after="0" w:line="240" w:lineRule="auto"/>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Mecanismos Institucionales</w:t>
            </w:r>
          </w:p>
        </w:tc>
        <w:tc>
          <w:tcPr>
            <w:tcW w:w="0" w:type="auto"/>
            <w:gridSpan w:val="2"/>
            <w:shd w:val="clear" w:color="000000" w:fill="BDD7EE"/>
            <w:noWrap/>
            <w:vAlign w:val="center"/>
            <w:hideMark/>
          </w:tcPr>
          <w:p w14:paraId="22E448F1"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21,122,314.07 </w:t>
            </w:r>
          </w:p>
        </w:tc>
        <w:tc>
          <w:tcPr>
            <w:tcW w:w="0" w:type="auto"/>
            <w:gridSpan w:val="2"/>
            <w:shd w:val="clear" w:color="000000" w:fill="BDD7EE"/>
            <w:noWrap/>
            <w:vAlign w:val="center"/>
            <w:hideMark/>
          </w:tcPr>
          <w:p w14:paraId="2ACF18F3"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   </w:t>
            </w:r>
          </w:p>
        </w:tc>
        <w:tc>
          <w:tcPr>
            <w:tcW w:w="0" w:type="auto"/>
            <w:shd w:val="clear" w:color="000000" w:fill="BDD7EE"/>
            <w:noWrap/>
            <w:vAlign w:val="center"/>
            <w:hideMark/>
          </w:tcPr>
          <w:p w14:paraId="65FCDC1F"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60,230,825.97 </w:t>
            </w:r>
          </w:p>
        </w:tc>
        <w:tc>
          <w:tcPr>
            <w:tcW w:w="0" w:type="auto"/>
            <w:shd w:val="clear" w:color="000000" w:fill="BDD7EE"/>
            <w:noWrap/>
            <w:vAlign w:val="center"/>
            <w:hideMark/>
          </w:tcPr>
          <w:p w14:paraId="309573CB"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81,353,140.04 </w:t>
            </w:r>
          </w:p>
        </w:tc>
      </w:tr>
      <w:tr w:rsidR="00243C00" w:rsidRPr="00950420" w14:paraId="366CA749" w14:textId="77777777" w:rsidTr="007B3FA7">
        <w:trPr>
          <w:trHeight w:val="416"/>
        </w:trPr>
        <w:tc>
          <w:tcPr>
            <w:tcW w:w="0" w:type="auto"/>
            <w:shd w:val="clear" w:color="000000" w:fill="BDD7EE"/>
            <w:vAlign w:val="center"/>
          </w:tcPr>
          <w:p w14:paraId="7FAF12F1" w14:textId="66A9C56C" w:rsidR="0029075E" w:rsidRPr="00950420" w:rsidRDefault="00243C00" w:rsidP="00BE3035">
            <w:pPr>
              <w:spacing w:after="0" w:line="240" w:lineRule="auto"/>
              <w:jc w:val="center"/>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11</w:t>
            </w:r>
          </w:p>
        </w:tc>
        <w:tc>
          <w:tcPr>
            <w:tcW w:w="0" w:type="auto"/>
            <w:shd w:val="clear" w:color="000000" w:fill="BDD7EE"/>
            <w:vAlign w:val="center"/>
            <w:hideMark/>
          </w:tcPr>
          <w:p w14:paraId="2D85D19B" w14:textId="39E1FDC0" w:rsidR="0029075E" w:rsidRPr="00950420" w:rsidRDefault="0029075E" w:rsidP="00BE3035">
            <w:pPr>
              <w:spacing w:after="0" w:line="240" w:lineRule="auto"/>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Participación Sociopolítica</w:t>
            </w:r>
          </w:p>
        </w:tc>
        <w:tc>
          <w:tcPr>
            <w:tcW w:w="0" w:type="auto"/>
            <w:gridSpan w:val="2"/>
            <w:shd w:val="clear" w:color="000000" w:fill="BDD7EE"/>
            <w:noWrap/>
            <w:vAlign w:val="center"/>
            <w:hideMark/>
          </w:tcPr>
          <w:p w14:paraId="01C6FAB5"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   </w:t>
            </w:r>
          </w:p>
        </w:tc>
        <w:tc>
          <w:tcPr>
            <w:tcW w:w="0" w:type="auto"/>
            <w:gridSpan w:val="2"/>
            <w:shd w:val="clear" w:color="000000" w:fill="BDD7EE"/>
            <w:noWrap/>
            <w:vAlign w:val="center"/>
            <w:hideMark/>
          </w:tcPr>
          <w:p w14:paraId="498CAB99"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51,060,206.97 </w:t>
            </w:r>
          </w:p>
        </w:tc>
        <w:tc>
          <w:tcPr>
            <w:tcW w:w="0" w:type="auto"/>
            <w:shd w:val="clear" w:color="000000" w:fill="BDD7EE"/>
            <w:noWrap/>
            <w:vAlign w:val="center"/>
            <w:hideMark/>
          </w:tcPr>
          <w:p w14:paraId="349FEF1E"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23,218,170.94 </w:t>
            </w:r>
          </w:p>
        </w:tc>
        <w:tc>
          <w:tcPr>
            <w:tcW w:w="0" w:type="auto"/>
            <w:shd w:val="clear" w:color="000000" w:fill="BDD7EE"/>
            <w:noWrap/>
            <w:vAlign w:val="center"/>
            <w:hideMark/>
          </w:tcPr>
          <w:p w14:paraId="76A516E8"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74,278,377.91 </w:t>
            </w:r>
          </w:p>
        </w:tc>
      </w:tr>
      <w:tr w:rsidR="00243C00" w:rsidRPr="00950420" w14:paraId="46CB4BD8" w14:textId="77777777" w:rsidTr="007B3FA7">
        <w:trPr>
          <w:trHeight w:val="422"/>
        </w:trPr>
        <w:tc>
          <w:tcPr>
            <w:tcW w:w="0" w:type="auto"/>
            <w:shd w:val="clear" w:color="000000" w:fill="BDD7EE"/>
            <w:vAlign w:val="center"/>
          </w:tcPr>
          <w:p w14:paraId="34F48A1A" w14:textId="1AE197C3" w:rsidR="0029075E" w:rsidRPr="00950420" w:rsidRDefault="00243C00" w:rsidP="00BE3035">
            <w:pPr>
              <w:spacing w:after="0" w:line="240" w:lineRule="auto"/>
              <w:jc w:val="center"/>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12</w:t>
            </w:r>
          </w:p>
        </w:tc>
        <w:tc>
          <w:tcPr>
            <w:tcW w:w="0" w:type="auto"/>
            <w:shd w:val="clear" w:color="000000" w:fill="BDD7EE"/>
            <w:vAlign w:val="center"/>
            <w:hideMark/>
          </w:tcPr>
          <w:p w14:paraId="015A6FAB" w14:textId="76FB4368" w:rsidR="0029075E" w:rsidRPr="00950420" w:rsidRDefault="0029075E" w:rsidP="00BE3035">
            <w:pPr>
              <w:spacing w:after="0" w:line="240" w:lineRule="auto"/>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Identidad Cultural</w:t>
            </w:r>
          </w:p>
        </w:tc>
        <w:tc>
          <w:tcPr>
            <w:tcW w:w="0" w:type="auto"/>
            <w:gridSpan w:val="2"/>
            <w:shd w:val="clear" w:color="000000" w:fill="BDD7EE"/>
            <w:noWrap/>
            <w:vAlign w:val="center"/>
            <w:hideMark/>
          </w:tcPr>
          <w:p w14:paraId="057AA5ED"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   </w:t>
            </w:r>
          </w:p>
        </w:tc>
        <w:tc>
          <w:tcPr>
            <w:tcW w:w="0" w:type="auto"/>
            <w:gridSpan w:val="2"/>
            <w:shd w:val="clear" w:color="000000" w:fill="BDD7EE"/>
            <w:noWrap/>
            <w:vAlign w:val="center"/>
            <w:hideMark/>
          </w:tcPr>
          <w:p w14:paraId="4D3C2E6B" w14:textId="26136773" w:rsidR="0029075E" w:rsidRPr="00950420" w:rsidRDefault="000C67D8" w:rsidP="00BE3035">
            <w:pPr>
              <w:spacing w:after="0" w:line="240" w:lineRule="auto"/>
              <w:jc w:val="right"/>
              <w:rPr>
                <w:rFonts w:ascii="Calibri" w:eastAsia="Times New Roman" w:hAnsi="Calibri" w:cs="Times New Roman"/>
                <w:color w:val="000000"/>
                <w:sz w:val="16"/>
                <w:lang w:eastAsia="es-GT"/>
              </w:rPr>
            </w:pPr>
            <w:r>
              <w:rPr>
                <w:rFonts w:ascii="Calibri" w:eastAsia="Times New Roman" w:hAnsi="Calibri" w:cs="Times New Roman"/>
                <w:color w:val="000000"/>
                <w:sz w:val="16"/>
                <w:lang w:eastAsia="es-GT"/>
              </w:rPr>
              <w:t>.0</w:t>
            </w:r>
            <w:r w:rsidR="0029075E" w:rsidRPr="00950420">
              <w:rPr>
                <w:rFonts w:ascii="Calibri" w:eastAsia="Times New Roman" w:hAnsi="Calibri" w:cs="Times New Roman"/>
                <w:color w:val="000000"/>
                <w:sz w:val="16"/>
                <w:lang w:eastAsia="es-GT"/>
              </w:rPr>
              <w:t> </w:t>
            </w:r>
          </w:p>
        </w:tc>
        <w:tc>
          <w:tcPr>
            <w:tcW w:w="0" w:type="auto"/>
            <w:shd w:val="clear" w:color="000000" w:fill="BDD7EE"/>
            <w:noWrap/>
            <w:vAlign w:val="center"/>
            <w:hideMark/>
          </w:tcPr>
          <w:p w14:paraId="18CDA27C" w14:textId="77777777" w:rsidR="0029075E" w:rsidRPr="00950420" w:rsidRDefault="0029075E" w:rsidP="00BE3035">
            <w:pPr>
              <w:spacing w:after="0" w:line="240" w:lineRule="auto"/>
              <w:jc w:val="right"/>
              <w:rPr>
                <w:rFonts w:ascii="Calibri" w:eastAsia="Times New Roman" w:hAnsi="Calibri" w:cs="Times New Roman"/>
                <w:color w:val="000000"/>
                <w:sz w:val="16"/>
                <w:lang w:eastAsia="es-GT"/>
              </w:rPr>
            </w:pPr>
            <w:r w:rsidRPr="00950420">
              <w:rPr>
                <w:rFonts w:ascii="Calibri" w:eastAsia="Times New Roman" w:hAnsi="Calibri" w:cs="Times New Roman"/>
                <w:color w:val="000000"/>
                <w:sz w:val="16"/>
                <w:lang w:eastAsia="es-GT"/>
              </w:rPr>
              <w:t xml:space="preserve"> Q        1,300,696.81 </w:t>
            </w:r>
          </w:p>
        </w:tc>
        <w:tc>
          <w:tcPr>
            <w:tcW w:w="0" w:type="auto"/>
            <w:shd w:val="clear" w:color="000000" w:fill="BDD7EE"/>
            <w:noWrap/>
            <w:vAlign w:val="center"/>
            <w:hideMark/>
          </w:tcPr>
          <w:p w14:paraId="23DF40F2" w14:textId="77777777" w:rsidR="0029075E" w:rsidRPr="00950420" w:rsidRDefault="0029075E" w:rsidP="00BE3035">
            <w:pPr>
              <w:spacing w:after="0" w:line="240" w:lineRule="auto"/>
              <w:jc w:val="right"/>
              <w:rPr>
                <w:rFonts w:ascii="Calibri" w:eastAsia="Times New Roman" w:hAnsi="Calibri" w:cs="Times New Roman"/>
                <w:b/>
                <w:bCs/>
                <w:color w:val="000000"/>
                <w:sz w:val="16"/>
                <w:lang w:eastAsia="es-GT"/>
              </w:rPr>
            </w:pPr>
            <w:r w:rsidRPr="00950420">
              <w:rPr>
                <w:rFonts w:ascii="Calibri" w:eastAsia="Times New Roman" w:hAnsi="Calibri" w:cs="Times New Roman"/>
                <w:color w:val="000000"/>
                <w:sz w:val="16"/>
                <w:lang w:eastAsia="es-GT"/>
              </w:rPr>
              <w:t xml:space="preserve"> Q</w:t>
            </w:r>
            <w:r w:rsidRPr="00950420">
              <w:rPr>
                <w:rFonts w:ascii="Calibri" w:eastAsia="Times New Roman" w:hAnsi="Calibri" w:cs="Times New Roman"/>
                <w:b/>
                <w:bCs/>
                <w:color w:val="000000"/>
                <w:sz w:val="16"/>
                <w:lang w:eastAsia="es-GT"/>
              </w:rPr>
              <w:t xml:space="preserve">            </w:t>
            </w:r>
            <w:r w:rsidRPr="00950420">
              <w:rPr>
                <w:rFonts w:ascii="Calibri" w:eastAsia="Times New Roman" w:hAnsi="Calibri" w:cs="Times New Roman"/>
                <w:color w:val="000000"/>
                <w:sz w:val="16"/>
                <w:lang w:eastAsia="es-GT"/>
              </w:rPr>
              <w:t>1,300,696.81</w:t>
            </w:r>
            <w:r w:rsidRPr="00950420">
              <w:rPr>
                <w:rFonts w:ascii="Calibri" w:eastAsia="Times New Roman" w:hAnsi="Calibri" w:cs="Times New Roman"/>
                <w:b/>
                <w:bCs/>
                <w:color w:val="000000"/>
                <w:sz w:val="16"/>
                <w:lang w:eastAsia="es-GT"/>
              </w:rPr>
              <w:t xml:space="preserve"> </w:t>
            </w:r>
          </w:p>
        </w:tc>
      </w:tr>
      <w:tr w:rsidR="00726FB5" w:rsidRPr="00950420" w14:paraId="348EB9A5" w14:textId="77777777" w:rsidTr="00806D49">
        <w:trPr>
          <w:trHeight w:val="585"/>
        </w:trPr>
        <w:tc>
          <w:tcPr>
            <w:tcW w:w="0" w:type="auto"/>
            <w:shd w:val="clear" w:color="000000" w:fill="BDD7EE"/>
            <w:vAlign w:val="center"/>
          </w:tcPr>
          <w:p w14:paraId="25F1F353" w14:textId="77777777" w:rsidR="00726FB5" w:rsidRPr="00950420" w:rsidRDefault="00726FB5" w:rsidP="00BE3035">
            <w:pPr>
              <w:spacing w:after="0" w:line="240" w:lineRule="auto"/>
              <w:jc w:val="center"/>
              <w:rPr>
                <w:rFonts w:ascii="Calibri" w:eastAsia="Times New Roman" w:hAnsi="Calibri" w:cs="Times New Roman"/>
                <w:color w:val="000000"/>
                <w:sz w:val="16"/>
                <w:lang w:eastAsia="es-GT"/>
              </w:rPr>
            </w:pPr>
          </w:p>
        </w:tc>
        <w:tc>
          <w:tcPr>
            <w:tcW w:w="0" w:type="auto"/>
            <w:shd w:val="clear" w:color="000000" w:fill="BDD7EE"/>
            <w:vAlign w:val="center"/>
          </w:tcPr>
          <w:p w14:paraId="4E1087B3" w14:textId="12106D2E" w:rsidR="00726FB5" w:rsidRPr="00950420" w:rsidRDefault="00726FB5" w:rsidP="00BE3035">
            <w:pPr>
              <w:spacing w:after="0" w:line="240" w:lineRule="auto"/>
              <w:rPr>
                <w:rFonts w:ascii="Calibri" w:eastAsia="Times New Roman" w:hAnsi="Calibri" w:cs="Times New Roman"/>
                <w:color w:val="000000"/>
                <w:sz w:val="16"/>
                <w:lang w:eastAsia="es-GT"/>
              </w:rPr>
            </w:pPr>
            <w:r>
              <w:rPr>
                <w:rFonts w:ascii="Calibri" w:eastAsia="Times New Roman" w:hAnsi="Calibri" w:cs="Times New Roman"/>
                <w:color w:val="000000"/>
                <w:sz w:val="16"/>
                <w:lang w:eastAsia="es-GT"/>
              </w:rPr>
              <w:t>Total</w:t>
            </w:r>
          </w:p>
        </w:tc>
        <w:tc>
          <w:tcPr>
            <w:tcW w:w="0" w:type="auto"/>
            <w:gridSpan w:val="2"/>
            <w:shd w:val="clear" w:color="000000" w:fill="BDD7EE"/>
            <w:noWrap/>
            <w:vAlign w:val="center"/>
          </w:tcPr>
          <w:p w14:paraId="6B32C1FB" w14:textId="57F98CC5" w:rsidR="00726FB5" w:rsidRPr="00950420" w:rsidRDefault="00726FB5" w:rsidP="00BE3035">
            <w:pPr>
              <w:spacing w:after="0" w:line="240" w:lineRule="auto"/>
              <w:jc w:val="right"/>
              <w:rPr>
                <w:rFonts w:ascii="Calibri" w:eastAsia="Times New Roman" w:hAnsi="Calibri" w:cs="Times New Roman"/>
                <w:color w:val="000000"/>
                <w:sz w:val="16"/>
                <w:lang w:eastAsia="es-GT"/>
              </w:rPr>
            </w:pPr>
            <w:r w:rsidRPr="00726FB5">
              <w:rPr>
                <w:rFonts w:ascii="Calibri" w:eastAsia="Times New Roman" w:hAnsi="Calibri" w:cs="Times New Roman"/>
                <w:color w:val="000000"/>
                <w:sz w:val="16"/>
                <w:lang w:eastAsia="es-GT"/>
              </w:rPr>
              <w:t>Q</w:t>
            </w:r>
            <w:r w:rsidR="000C67D8">
              <w:rPr>
                <w:rFonts w:ascii="Calibri" w:eastAsia="Times New Roman" w:hAnsi="Calibri" w:cs="Times New Roman"/>
                <w:color w:val="000000"/>
                <w:sz w:val="16"/>
                <w:lang w:eastAsia="es-GT"/>
              </w:rPr>
              <w:t xml:space="preserve">      </w:t>
            </w:r>
            <w:r w:rsidRPr="00726FB5">
              <w:rPr>
                <w:rFonts w:ascii="Calibri" w:eastAsia="Times New Roman" w:hAnsi="Calibri" w:cs="Times New Roman"/>
                <w:color w:val="000000"/>
                <w:sz w:val="16"/>
                <w:lang w:eastAsia="es-GT"/>
              </w:rPr>
              <w:t>2,289,397,686.53</w:t>
            </w:r>
          </w:p>
        </w:tc>
        <w:tc>
          <w:tcPr>
            <w:tcW w:w="0" w:type="auto"/>
            <w:gridSpan w:val="2"/>
            <w:shd w:val="clear" w:color="000000" w:fill="BDD7EE"/>
            <w:noWrap/>
            <w:vAlign w:val="center"/>
          </w:tcPr>
          <w:p w14:paraId="15489FDD" w14:textId="1DCE6B62" w:rsidR="00726FB5" w:rsidRPr="00950420" w:rsidRDefault="00726FB5" w:rsidP="00BE3035">
            <w:pPr>
              <w:spacing w:after="0" w:line="240" w:lineRule="auto"/>
              <w:jc w:val="right"/>
              <w:rPr>
                <w:rFonts w:ascii="Calibri" w:eastAsia="Times New Roman" w:hAnsi="Calibri" w:cs="Times New Roman"/>
                <w:color w:val="000000"/>
                <w:sz w:val="16"/>
                <w:lang w:eastAsia="es-GT"/>
              </w:rPr>
            </w:pPr>
            <w:r w:rsidRPr="00726FB5">
              <w:rPr>
                <w:rFonts w:ascii="Calibri" w:eastAsia="Times New Roman" w:hAnsi="Calibri" w:cs="Times New Roman"/>
                <w:color w:val="000000"/>
                <w:sz w:val="16"/>
                <w:lang w:eastAsia="es-GT"/>
              </w:rPr>
              <w:t>Q</w:t>
            </w:r>
            <w:r w:rsidR="000C67D8">
              <w:rPr>
                <w:rFonts w:ascii="Calibri" w:eastAsia="Times New Roman" w:hAnsi="Calibri" w:cs="Times New Roman"/>
                <w:color w:val="000000"/>
                <w:sz w:val="16"/>
                <w:lang w:eastAsia="es-GT"/>
              </w:rPr>
              <w:t xml:space="preserve">      </w:t>
            </w:r>
            <w:r w:rsidRPr="00726FB5">
              <w:rPr>
                <w:rFonts w:ascii="Calibri" w:eastAsia="Times New Roman" w:hAnsi="Calibri" w:cs="Times New Roman"/>
                <w:color w:val="000000"/>
                <w:sz w:val="16"/>
                <w:lang w:eastAsia="es-GT"/>
              </w:rPr>
              <w:t>726,998,417.34</w:t>
            </w:r>
          </w:p>
        </w:tc>
        <w:tc>
          <w:tcPr>
            <w:tcW w:w="0" w:type="auto"/>
            <w:shd w:val="clear" w:color="000000" w:fill="BDD7EE"/>
            <w:noWrap/>
            <w:vAlign w:val="center"/>
          </w:tcPr>
          <w:p w14:paraId="1E29A77F" w14:textId="5D74F44B" w:rsidR="00726FB5" w:rsidRPr="00950420" w:rsidRDefault="00726FB5" w:rsidP="00BE3035">
            <w:pPr>
              <w:spacing w:after="0" w:line="240" w:lineRule="auto"/>
              <w:jc w:val="right"/>
              <w:rPr>
                <w:rFonts w:ascii="Calibri" w:eastAsia="Times New Roman" w:hAnsi="Calibri" w:cs="Times New Roman"/>
                <w:color w:val="000000"/>
                <w:sz w:val="16"/>
                <w:lang w:eastAsia="es-GT"/>
              </w:rPr>
            </w:pPr>
            <w:r w:rsidRPr="00726FB5">
              <w:rPr>
                <w:rFonts w:ascii="Calibri" w:eastAsia="Times New Roman" w:hAnsi="Calibri" w:cs="Times New Roman"/>
                <w:color w:val="000000"/>
                <w:sz w:val="16"/>
                <w:lang w:eastAsia="es-GT"/>
              </w:rPr>
              <w:t>Q656,891,363.05</w:t>
            </w:r>
          </w:p>
        </w:tc>
        <w:tc>
          <w:tcPr>
            <w:tcW w:w="0" w:type="auto"/>
            <w:shd w:val="clear" w:color="000000" w:fill="BDD7EE"/>
            <w:noWrap/>
            <w:vAlign w:val="center"/>
          </w:tcPr>
          <w:p w14:paraId="3F0B6E2E" w14:textId="25892015" w:rsidR="00726FB5" w:rsidRPr="00950420" w:rsidRDefault="00726FB5" w:rsidP="00BE3035">
            <w:pPr>
              <w:spacing w:after="0" w:line="240" w:lineRule="auto"/>
              <w:jc w:val="right"/>
              <w:rPr>
                <w:rFonts w:ascii="Calibri" w:eastAsia="Times New Roman" w:hAnsi="Calibri" w:cs="Times New Roman"/>
                <w:color w:val="000000"/>
                <w:sz w:val="16"/>
                <w:lang w:eastAsia="es-GT"/>
              </w:rPr>
            </w:pPr>
            <w:r w:rsidRPr="00726FB5">
              <w:rPr>
                <w:rFonts w:ascii="Calibri" w:eastAsia="Times New Roman" w:hAnsi="Calibri" w:cs="Times New Roman"/>
                <w:color w:val="000000"/>
                <w:sz w:val="16"/>
                <w:lang w:eastAsia="es-GT"/>
              </w:rPr>
              <w:t>Q3,673,287,466.92</w:t>
            </w:r>
          </w:p>
        </w:tc>
      </w:tr>
      <w:tr w:rsidR="00726FB5" w:rsidRPr="00726FB5" w14:paraId="287AB19D" w14:textId="77777777" w:rsidTr="003E6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gridSpan w:val="3"/>
            <w:tcBorders>
              <w:top w:val="nil"/>
              <w:left w:val="nil"/>
              <w:bottom w:val="nil"/>
              <w:right w:val="nil"/>
            </w:tcBorders>
            <w:shd w:val="clear" w:color="auto" w:fill="auto"/>
            <w:noWrap/>
            <w:vAlign w:val="center"/>
          </w:tcPr>
          <w:p w14:paraId="2B67060F" w14:textId="7F066EBD" w:rsidR="00726FB5" w:rsidRPr="00726FB5" w:rsidRDefault="00726FB5" w:rsidP="007B3FA7">
            <w:pPr>
              <w:spacing w:after="0" w:line="240" w:lineRule="auto"/>
              <w:rPr>
                <w:rFonts w:ascii="Calibri" w:eastAsia="Times New Roman" w:hAnsi="Calibri" w:cs="Times New Roman"/>
                <w:color w:val="000000"/>
                <w:lang w:eastAsia="es-GT"/>
              </w:rPr>
            </w:pPr>
          </w:p>
        </w:tc>
        <w:tc>
          <w:tcPr>
            <w:tcW w:w="0" w:type="auto"/>
            <w:gridSpan w:val="2"/>
            <w:tcBorders>
              <w:top w:val="nil"/>
              <w:left w:val="nil"/>
              <w:bottom w:val="nil"/>
              <w:right w:val="nil"/>
            </w:tcBorders>
            <w:shd w:val="clear" w:color="auto" w:fill="auto"/>
            <w:noWrap/>
            <w:vAlign w:val="center"/>
          </w:tcPr>
          <w:p w14:paraId="2A603622" w14:textId="303C23E0" w:rsidR="00726FB5" w:rsidRPr="00726FB5" w:rsidRDefault="00726FB5" w:rsidP="00BE3035">
            <w:pPr>
              <w:spacing w:after="0" w:line="240" w:lineRule="auto"/>
              <w:jc w:val="right"/>
              <w:rPr>
                <w:rFonts w:ascii="Calibri" w:eastAsia="Times New Roman" w:hAnsi="Calibri" w:cs="Times New Roman"/>
                <w:color w:val="000000"/>
                <w:lang w:eastAsia="es-GT"/>
              </w:rPr>
            </w:pPr>
          </w:p>
        </w:tc>
        <w:tc>
          <w:tcPr>
            <w:tcW w:w="0" w:type="auto"/>
            <w:gridSpan w:val="2"/>
            <w:tcBorders>
              <w:top w:val="nil"/>
              <w:left w:val="nil"/>
              <w:bottom w:val="nil"/>
              <w:right w:val="nil"/>
            </w:tcBorders>
            <w:shd w:val="clear" w:color="auto" w:fill="auto"/>
            <w:noWrap/>
            <w:vAlign w:val="center"/>
          </w:tcPr>
          <w:p w14:paraId="4809712C" w14:textId="2D4C26B0" w:rsidR="00726FB5" w:rsidRPr="00726FB5" w:rsidRDefault="00726FB5" w:rsidP="00BE3035">
            <w:pPr>
              <w:spacing w:after="0" w:line="240" w:lineRule="auto"/>
              <w:jc w:val="right"/>
              <w:rPr>
                <w:rFonts w:ascii="Calibri" w:eastAsia="Times New Roman" w:hAnsi="Calibri" w:cs="Times New Roman"/>
                <w:color w:val="000000"/>
                <w:lang w:eastAsia="es-GT"/>
              </w:rPr>
            </w:pPr>
          </w:p>
        </w:tc>
        <w:tc>
          <w:tcPr>
            <w:tcW w:w="0" w:type="auto"/>
            <w:tcBorders>
              <w:top w:val="nil"/>
              <w:left w:val="nil"/>
              <w:bottom w:val="nil"/>
              <w:right w:val="nil"/>
            </w:tcBorders>
            <w:shd w:val="clear" w:color="auto" w:fill="auto"/>
            <w:noWrap/>
            <w:vAlign w:val="center"/>
          </w:tcPr>
          <w:p w14:paraId="2D476F04" w14:textId="0B16C274" w:rsidR="00726FB5" w:rsidRPr="00726FB5" w:rsidRDefault="00726FB5" w:rsidP="00BE3035">
            <w:pPr>
              <w:spacing w:after="0" w:line="240" w:lineRule="auto"/>
              <w:jc w:val="right"/>
              <w:rPr>
                <w:rFonts w:ascii="Calibri" w:eastAsia="Times New Roman" w:hAnsi="Calibri" w:cs="Times New Roman"/>
                <w:color w:val="000000"/>
                <w:lang w:eastAsia="es-GT"/>
              </w:rPr>
            </w:pPr>
          </w:p>
        </w:tc>
      </w:tr>
    </w:tbl>
    <w:p w14:paraId="2CC2E73A" w14:textId="37F9B622" w:rsidR="00E9146B" w:rsidRPr="00387A2F" w:rsidRDefault="00E9146B" w:rsidP="00E9146B">
      <w:pPr>
        <w:spacing w:after="0" w:line="240" w:lineRule="auto"/>
        <w:rPr>
          <w:rFonts w:ascii="Calibri" w:eastAsia="Times New Roman" w:hAnsi="Calibri" w:cs="Times New Roman"/>
          <w:b/>
          <w:bCs/>
          <w:color w:val="000000"/>
          <w:sz w:val="18"/>
          <w:szCs w:val="18"/>
          <w:lang w:eastAsia="es-GT"/>
        </w:rPr>
      </w:pPr>
      <w:r w:rsidRPr="00387A2F">
        <w:rPr>
          <w:color w:val="231F20"/>
          <w:sz w:val="18"/>
          <w:szCs w:val="18"/>
        </w:rPr>
        <w:t xml:space="preserve">Fuente: Sistema de Contabilidad Integrada (SICOIN), </w:t>
      </w:r>
      <w:r>
        <w:rPr>
          <w:color w:val="231F20"/>
          <w:sz w:val="18"/>
          <w:szCs w:val="18"/>
        </w:rPr>
        <w:t>del 1 de enero al 30 de junio</w:t>
      </w:r>
      <w:r w:rsidRPr="00387A2F">
        <w:rPr>
          <w:color w:val="231F20"/>
          <w:sz w:val="18"/>
          <w:szCs w:val="18"/>
        </w:rPr>
        <w:t xml:space="preserve"> del 2021</w:t>
      </w:r>
    </w:p>
    <w:p w14:paraId="7BE8B9D2" w14:textId="77777777" w:rsidR="0025011A" w:rsidRDefault="0025011A"/>
    <w:p w14:paraId="0860E236" w14:textId="6F81533A" w:rsidR="00922913" w:rsidRDefault="00922913" w:rsidP="00922913">
      <w:pPr>
        <w:tabs>
          <w:tab w:val="left" w:pos="2250"/>
        </w:tabs>
        <w:spacing w:after="0" w:line="360" w:lineRule="auto"/>
        <w:jc w:val="both"/>
      </w:pPr>
      <w:r w:rsidRPr="00922913">
        <w:t>El comparativo del presupuesto vinculado al CPEG durante el primer semestre de 2021 da cuenta que el monto más elevado de ejecución se destinó al Eje 5 de la PNPDIM, Violencia contra las Mujeres, correspondiente al 1.57% del presupuesto general de la nación y que ninguno de los demás ejes alcanzan un punto porcentual.</w:t>
      </w:r>
    </w:p>
    <w:p w14:paraId="4F62CB89" w14:textId="1C271D2A" w:rsidR="003E6DEA" w:rsidRDefault="003E6DEA" w:rsidP="00922913">
      <w:pPr>
        <w:tabs>
          <w:tab w:val="left" w:pos="2250"/>
        </w:tabs>
        <w:spacing w:after="0" w:line="360" w:lineRule="auto"/>
        <w:jc w:val="both"/>
      </w:pPr>
    </w:p>
    <w:p w14:paraId="2396984B" w14:textId="177A9342" w:rsidR="003E6DEA" w:rsidRDefault="003E6DEA" w:rsidP="00922913">
      <w:pPr>
        <w:tabs>
          <w:tab w:val="left" w:pos="2250"/>
        </w:tabs>
        <w:spacing w:after="0" w:line="360" w:lineRule="auto"/>
        <w:jc w:val="both"/>
      </w:pPr>
      <w:r>
        <w:t>Se observa también que las entidades centralizadas fueron las que mayor presupuesto vincularon al CPEG</w:t>
      </w:r>
      <w:r w:rsidR="006F7CAB">
        <w:t xml:space="preserve">, seguida de las entidades descentralizada y gobiernos locales. </w:t>
      </w:r>
    </w:p>
    <w:p w14:paraId="29B9D9E5" w14:textId="1C2917C3" w:rsidR="00726FB5" w:rsidRDefault="00726FB5">
      <w:pPr>
        <w:rPr>
          <w:rFonts w:asciiTheme="majorHAnsi" w:eastAsiaTheme="majorEastAsia" w:hAnsiTheme="majorHAnsi" w:cstheme="majorBidi"/>
          <w:b/>
          <w:color w:val="2F5496" w:themeColor="accent1" w:themeShade="BF"/>
          <w:sz w:val="32"/>
          <w:szCs w:val="32"/>
        </w:rPr>
      </w:pPr>
      <w:bookmarkStart w:id="19" w:name="_Toc97558451"/>
      <w:r>
        <w:rPr>
          <w:b/>
        </w:rPr>
        <w:br w:type="page"/>
      </w:r>
    </w:p>
    <w:p w14:paraId="388619B7" w14:textId="03B09E69" w:rsidR="00F3207E" w:rsidRPr="00103BFE" w:rsidRDefault="00F3207E" w:rsidP="00CB6001">
      <w:pPr>
        <w:pStyle w:val="Ttulo1"/>
        <w:rPr>
          <w:bCs/>
        </w:rPr>
      </w:pPr>
      <w:bookmarkStart w:id="20" w:name="_Toc98759539"/>
      <w:r w:rsidRPr="00103BFE">
        <w:rPr>
          <w:bCs/>
        </w:rPr>
        <w:lastRenderedPageBreak/>
        <w:t>CONCLUSIONES:</w:t>
      </w:r>
      <w:bookmarkEnd w:id="19"/>
      <w:bookmarkEnd w:id="20"/>
    </w:p>
    <w:p w14:paraId="3901BCA6" w14:textId="279B9CA5" w:rsidR="00F3207E" w:rsidRDefault="00F3207E" w:rsidP="001748B7">
      <w:pPr>
        <w:pStyle w:val="Prrafodelista"/>
        <w:numPr>
          <w:ilvl w:val="0"/>
          <w:numId w:val="14"/>
        </w:numPr>
        <w:spacing w:line="360" w:lineRule="auto"/>
        <w:jc w:val="both"/>
      </w:pPr>
      <w:r>
        <w:t xml:space="preserve">En el informe semestral del CPEG del ejercicio fiscal 2021, se pudo identificar que el presupuesto asignado al desarrollo integral de las mujeres sigue siendo bastante modesto en comparación con el presupuesto total de las instituciones centralizadas y descentralizadas, particular mención merecen los ministerios quienes concentran la mayor cantidad de recursos del presupuesto público. </w:t>
      </w:r>
    </w:p>
    <w:p w14:paraId="6D5FEBD9" w14:textId="31472519" w:rsidR="00F3207E" w:rsidRDefault="00F3207E" w:rsidP="001748B7">
      <w:pPr>
        <w:pStyle w:val="Prrafodelista"/>
        <w:numPr>
          <w:ilvl w:val="0"/>
          <w:numId w:val="14"/>
        </w:numPr>
        <w:spacing w:line="360" w:lineRule="auto"/>
        <w:jc w:val="both"/>
      </w:pPr>
      <w:r>
        <w:t xml:space="preserve">La falta de continuidad del presupuesto vinculado a los ejes de la PNPDIM por los gobiernos locales durante el primer semestre 2021, evidencia que el presupuesto etiquetado no corresponde a actividades de carácter estratégico por lo cual dificulta el análisis y seguimiento. </w:t>
      </w:r>
    </w:p>
    <w:p w14:paraId="1167019B" w14:textId="3E2BDB8D" w:rsidR="00F3207E" w:rsidRDefault="00A10A53" w:rsidP="001748B7">
      <w:pPr>
        <w:pStyle w:val="Prrafodelista"/>
        <w:numPr>
          <w:ilvl w:val="0"/>
          <w:numId w:val="14"/>
        </w:numPr>
        <w:spacing w:line="360" w:lineRule="auto"/>
        <w:jc w:val="both"/>
      </w:pPr>
      <w:r>
        <w:t xml:space="preserve">Al analizar las vinculaciones presupuestarias, es importante evidenciar que </w:t>
      </w:r>
      <w:proofErr w:type="gramStart"/>
      <w:r>
        <w:t>las  mismas</w:t>
      </w:r>
      <w:proofErr w:type="gramEnd"/>
      <w:r>
        <w:t xml:space="preserve"> son muy variables y diferenciadas entre los ejes, lo cual refleja que existen áreas consideradas como prioritarias para el desarrollo integral  de las mujeres contenidas en la PNPDIM y otras que no son sujetas de interés entre ellas las orientadas a la participación, ambiente, el acceso a la tierra, vivienda y la equidad jurídica entre otros. </w:t>
      </w:r>
    </w:p>
    <w:p w14:paraId="33928C16" w14:textId="230D31B6" w:rsidR="00A10A53" w:rsidRDefault="00A10A53" w:rsidP="001748B7">
      <w:pPr>
        <w:pStyle w:val="Prrafodelista"/>
        <w:numPr>
          <w:ilvl w:val="0"/>
          <w:numId w:val="14"/>
        </w:numPr>
        <w:spacing w:line="360" w:lineRule="auto"/>
        <w:jc w:val="both"/>
      </w:pPr>
      <w:r>
        <w:t xml:space="preserve">La información obtenida muestra que la eliminación de brechas entre hombre y mujeres, analizada desde la perspectiva del presupuesto público sigue siendo un reto, el cual requiere de un compromiso institucional real sostenido. Por lo que se hace necesario que las acciones estratégicas sean orientadas a transformar </w:t>
      </w:r>
      <w:r w:rsidR="002F7C00">
        <w:t>la vida</w:t>
      </w:r>
      <w:r>
        <w:t xml:space="preserve"> de las mujeres, los cuales deben ser evaluados periódicamente y en consecuencia retroalimentados y mejorados en el marco de la gestión por resultados. </w:t>
      </w:r>
    </w:p>
    <w:p w14:paraId="13D30257" w14:textId="1D01B47D" w:rsidR="002F7C00" w:rsidRDefault="002F7C00" w:rsidP="001748B7">
      <w:pPr>
        <w:pStyle w:val="Prrafodelista"/>
        <w:numPr>
          <w:ilvl w:val="0"/>
          <w:numId w:val="14"/>
        </w:numPr>
        <w:spacing w:line="360" w:lineRule="auto"/>
        <w:jc w:val="both"/>
      </w:pPr>
      <w:r>
        <w:t xml:space="preserve">A lo largo de la ejecución presupuestaria del primer semestre 2021, algunas instituciones realizan modificaciones y reprogramaciones observándose en su mayoría disminución al presupuesto asignado </w:t>
      </w:r>
    </w:p>
    <w:p w14:paraId="7196F966" w14:textId="77777777" w:rsidR="00537EBE" w:rsidRDefault="00537EBE">
      <w:pPr>
        <w:rPr>
          <w:rFonts w:asciiTheme="majorHAnsi" w:eastAsiaTheme="majorEastAsia" w:hAnsiTheme="majorHAnsi" w:cstheme="majorBidi"/>
          <w:b/>
          <w:color w:val="2F5496" w:themeColor="accent1" w:themeShade="BF"/>
          <w:sz w:val="32"/>
          <w:szCs w:val="32"/>
        </w:rPr>
      </w:pPr>
      <w:bookmarkStart w:id="21" w:name="_Toc97558452"/>
      <w:r>
        <w:rPr>
          <w:b/>
        </w:rPr>
        <w:br w:type="page"/>
      </w:r>
    </w:p>
    <w:p w14:paraId="34DA50E1" w14:textId="105B374E" w:rsidR="002F7C00" w:rsidRPr="00103BFE" w:rsidRDefault="00103BFE" w:rsidP="00CB6001">
      <w:pPr>
        <w:pStyle w:val="Ttulo1"/>
        <w:rPr>
          <w:bCs/>
        </w:rPr>
      </w:pPr>
      <w:bookmarkStart w:id="22" w:name="_Toc98759540"/>
      <w:r w:rsidRPr="00103BFE">
        <w:rPr>
          <w:bCs/>
        </w:rPr>
        <w:lastRenderedPageBreak/>
        <w:t>R</w:t>
      </w:r>
      <w:r w:rsidR="002F7C00" w:rsidRPr="00103BFE">
        <w:rPr>
          <w:bCs/>
        </w:rPr>
        <w:t>ECOMENDACIONES:</w:t>
      </w:r>
      <w:bookmarkEnd w:id="21"/>
      <w:bookmarkEnd w:id="22"/>
      <w:r w:rsidR="002F7C00" w:rsidRPr="00103BFE">
        <w:rPr>
          <w:bCs/>
        </w:rPr>
        <w:t xml:space="preserve"> </w:t>
      </w:r>
    </w:p>
    <w:p w14:paraId="1607CB92" w14:textId="579469FD" w:rsidR="0040596A" w:rsidRDefault="0040596A" w:rsidP="001748B7">
      <w:pPr>
        <w:pStyle w:val="Prrafodelista"/>
        <w:numPr>
          <w:ilvl w:val="0"/>
          <w:numId w:val="15"/>
        </w:numPr>
        <w:spacing w:line="360" w:lineRule="auto"/>
        <w:jc w:val="both"/>
      </w:pPr>
      <w:r>
        <w:t xml:space="preserve">Se debe orientar a las entidades de la administración pública a </w:t>
      </w:r>
      <w:r w:rsidR="00B0732A">
        <w:t>priorizar en su presupuesto, acciones que se fundamenten en</w:t>
      </w:r>
      <w:r w:rsidR="000E6487">
        <w:t xml:space="preserve"> un análisis riguroso de </w:t>
      </w:r>
      <w:r w:rsidR="00B0732A">
        <w:t>la situación y condición de las mujeres</w:t>
      </w:r>
      <w:r w:rsidR="00407B46">
        <w:t>. Las acciones priorizadas en ese presupuesto deben estar plasmadas en la producción institucional. (PEI, POM, POA).</w:t>
      </w:r>
    </w:p>
    <w:p w14:paraId="5CE31DF2" w14:textId="27B0CC49" w:rsidR="00877DE0" w:rsidRDefault="00884725" w:rsidP="001748B7">
      <w:pPr>
        <w:pStyle w:val="Prrafodelista"/>
        <w:numPr>
          <w:ilvl w:val="0"/>
          <w:numId w:val="15"/>
        </w:numPr>
        <w:spacing w:line="360" w:lineRule="auto"/>
        <w:jc w:val="both"/>
      </w:pPr>
      <w:r>
        <w:t>En relación con el</w:t>
      </w:r>
      <w:r w:rsidR="002716DC">
        <w:t xml:space="preserve"> enfoque de interseccionalidad de derechos, es importante que las instituciones fortalezcan sus esfuerzos para desarrollar programas que disminuyan los diferentes tipos de discriminación y exclusión que enfrentan las mujeres, así como mejorar la asignación presupuestaría a los programas que propicien la creación de capacidades y oportunidades a lo largo del curso de vida de las mujeres. </w:t>
      </w:r>
    </w:p>
    <w:p w14:paraId="2C9B64B1" w14:textId="7F8CF415" w:rsidR="002716DC" w:rsidRDefault="002716DC" w:rsidP="001748B7">
      <w:pPr>
        <w:pStyle w:val="Prrafodelista"/>
        <w:numPr>
          <w:ilvl w:val="0"/>
          <w:numId w:val="15"/>
        </w:numPr>
        <w:spacing w:line="360" w:lineRule="auto"/>
        <w:jc w:val="both"/>
      </w:pPr>
      <w:r>
        <w:t xml:space="preserve">Es preciso que las intervenciones sean sostenibles en el tiempo para su revisión y análisis y que la vinculación se realice al criterio de beneficiarios 1 (asignaciones destinadas de manera exclusiva para mujeres) con el propósito que el presupuesto sea dirigido al desarrollo integral de las mujeres de los cuatro pueblos de Guatemala. </w:t>
      </w:r>
    </w:p>
    <w:p w14:paraId="4A1ACB34" w14:textId="73B2EFF1" w:rsidR="00CB2885" w:rsidRDefault="00CB2885" w:rsidP="001748B7">
      <w:pPr>
        <w:pStyle w:val="Prrafodelista"/>
        <w:numPr>
          <w:ilvl w:val="0"/>
          <w:numId w:val="15"/>
        </w:numPr>
        <w:spacing w:line="360" w:lineRule="auto"/>
        <w:jc w:val="both"/>
      </w:pPr>
      <w:r>
        <w:t xml:space="preserve">Es necesario que la SEPREM cuente con más recurso humano y financiero para mejorar la asesoría y asistencia técnica que se brinda a la institucionalidad publica en el marco de la incorporación del enfoque de género en los procesos de planificación y presupuesto. </w:t>
      </w:r>
    </w:p>
    <w:p w14:paraId="5D7CD54B" w14:textId="22E3F390" w:rsidR="002716DC" w:rsidRDefault="00CB2885" w:rsidP="001748B7">
      <w:pPr>
        <w:pStyle w:val="Prrafodelista"/>
        <w:numPr>
          <w:ilvl w:val="0"/>
          <w:numId w:val="15"/>
        </w:numPr>
        <w:spacing w:line="360" w:lineRule="auto"/>
        <w:jc w:val="both"/>
      </w:pPr>
      <w:r>
        <w:t xml:space="preserve">Mayor compromiso político de las autoridades de la institucionalidad publica, que se vean reflejados en las intervenciones orientadas al cierre de brechas entre hombres y mujeres, a la institucionalización de la PNPDIM. </w:t>
      </w:r>
    </w:p>
    <w:p w14:paraId="5B9DE78C" w14:textId="77777777" w:rsidR="00877DE0" w:rsidRDefault="00877DE0" w:rsidP="001748B7">
      <w:pPr>
        <w:spacing w:line="360" w:lineRule="auto"/>
        <w:jc w:val="both"/>
      </w:pPr>
    </w:p>
    <w:p w14:paraId="112C96BD" w14:textId="266E5953" w:rsidR="008C727C" w:rsidRDefault="008C727C" w:rsidP="00CB6001">
      <w:pPr>
        <w:ind w:left="2880"/>
      </w:pPr>
      <w:r>
        <w:br w:type="page"/>
      </w:r>
      <w:r w:rsidR="00877DE0">
        <w:lastRenderedPageBreak/>
        <w:t xml:space="preserve"> </w:t>
      </w:r>
    </w:p>
    <w:bookmarkStart w:id="23" w:name="_Toc97558453" w:displacedByCustomXml="next"/>
    <w:bookmarkStart w:id="24" w:name="_Toc98759541" w:displacedByCustomXml="next"/>
    <w:sdt>
      <w:sdtPr>
        <w:rPr>
          <w:rFonts w:asciiTheme="minorHAnsi" w:eastAsiaTheme="minorHAnsi" w:hAnsiTheme="minorHAnsi" w:cstheme="minorBidi"/>
          <w:color w:val="auto"/>
          <w:sz w:val="22"/>
          <w:szCs w:val="22"/>
        </w:rPr>
        <w:id w:val="111145805"/>
        <w:bibliography/>
      </w:sdtPr>
      <w:sdtEndPr/>
      <w:sdtContent>
        <w:sdt>
          <w:sdtPr>
            <w:rPr>
              <w:rFonts w:asciiTheme="minorHAnsi" w:eastAsiaTheme="minorHAnsi" w:hAnsiTheme="minorHAnsi" w:cstheme="minorBidi"/>
              <w:color w:val="auto"/>
              <w:sz w:val="22"/>
              <w:szCs w:val="22"/>
              <w:lang w:val="es-ES"/>
            </w:rPr>
            <w:id w:val="-377855721"/>
            <w:docPartObj>
              <w:docPartGallery w:val="Bibliographies"/>
              <w:docPartUnique/>
            </w:docPartObj>
          </w:sdtPr>
          <w:sdtEndPr>
            <w:rPr>
              <w:lang w:val="es-GT"/>
            </w:rPr>
          </w:sdtEndPr>
          <w:sdtContent>
            <w:sdt>
              <w:sdtPr>
                <w:rPr>
                  <w:rFonts w:asciiTheme="minorHAnsi" w:eastAsiaTheme="minorHAnsi" w:hAnsiTheme="minorHAnsi" w:cstheme="minorBidi"/>
                  <w:color w:val="auto"/>
                  <w:sz w:val="22"/>
                  <w:szCs w:val="22"/>
                  <w:lang w:val="es-ES"/>
                </w:rPr>
                <w:id w:val="-110059228"/>
                <w:docPartObj>
                  <w:docPartGallery w:val="Bibliographies"/>
                  <w:docPartUnique/>
                </w:docPartObj>
              </w:sdtPr>
              <w:sdtEndPr>
                <w:rPr>
                  <w:lang w:val="es-GT"/>
                </w:rPr>
              </w:sdtEndPr>
              <w:sdtContent>
                <w:p w14:paraId="36CD2C24" w14:textId="4BC645C3" w:rsidR="0038110F" w:rsidRDefault="00616019">
                  <w:pPr>
                    <w:pStyle w:val="Ttulo1"/>
                  </w:pPr>
                  <w:r>
                    <w:rPr>
                      <w:lang w:val="es-ES"/>
                    </w:rPr>
                    <w:t>BIBLIOGRAFÍA</w:t>
                  </w:r>
                  <w:bookmarkEnd w:id="24"/>
                  <w:bookmarkEnd w:id="23"/>
                </w:p>
                <w:sdt>
                  <w:sdtPr>
                    <w:id w:val="584181598"/>
                    <w:bibliography/>
                  </w:sdtPr>
                  <w:sdtEndPr/>
                  <w:sdtContent>
                    <w:p w14:paraId="15425F3E" w14:textId="77777777" w:rsidR="0038110F" w:rsidRDefault="0038110F" w:rsidP="0038110F">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MINFIN. (2018). </w:t>
                      </w:r>
                      <w:r>
                        <w:rPr>
                          <w:i/>
                          <w:iCs/>
                          <w:noProof/>
                          <w:lang w:val="es-ES"/>
                        </w:rPr>
                        <w:t>Manual de Clasificadores Presupuestarios para el Sector Público de Guatemala.</w:t>
                      </w:r>
                      <w:r>
                        <w:rPr>
                          <w:noProof/>
                          <w:lang w:val="es-ES"/>
                        </w:rPr>
                        <w:t xml:space="preserve"> Guatemala.</w:t>
                      </w:r>
                    </w:p>
                    <w:p w14:paraId="2E4C9C80" w14:textId="77777777" w:rsidR="0038110F" w:rsidRDefault="0038110F" w:rsidP="0038110F">
                      <w:pPr>
                        <w:pStyle w:val="Bibliografa"/>
                        <w:ind w:left="720" w:hanging="720"/>
                        <w:rPr>
                          <w:noProof/>
                          <w:lang w:val="es-ES"/>
                        </w:rPr>
                      </w:pPr>
                      <w:r>
                        <w:rPr>
                          <w:noProof/>
                          <w:lang w:val="es-ES"/>
                        </w:rPr>
                        <w:t>MINFIN. (noviembre de 2021). SICOIN. Guatemala, Guatemala.</w:t>
                      </w:r>
                    </w:p>
                    <w:p w14:paraId="4C1C9F35" w14:textId="77777777" w:rsidR="0038110F" w:rsidRDefault="0038110F" w:rsidP="0038110F">
                      <w:pPr>
                        <w:pStyle w:val="Bibliografa"/>
                        <w:ind w:left="720" w:hanging="720"/>
                        <w:rPr>
                          <w:noProof/>
                          <w:lang w:val="es-ES"/>
                        </w:rPr>
                      </w:pPr>
                      <w:r>
                        <w:rPr>
                          <w:noProof/>
                          <w:lang w:val="es-ES"/>
                        </w:rPr>
                        <w:t xml:space="preserve">SEPREM. (2009). </w:t>
                      </w:r>
                      <w:r>
                        <w:rPr>
                          <w:i/>
                          <w:iCs/>
                          <w:noProof/>
                          <w:lang w:val="es-ES"/>
                        </w:rPr>
                        <w:t>Politica Nacional de Promción y Desarrollo Integral de las Mujeres y Plan de Equidad de Oportunidades 2008 - 2023.</w:t>
                      </w:r>
                      <w:r>
                        <w:rPr>
                          <w:noProof/>
                          <w:lang w:val="es-ES"/>
                        </w:rPr>
                        <w:t xml:space="preserve"> Guatemala: Gobierno de la Reública.</w:t>
                      </w:r>
                    </w:p>
                    <w:p w14:paraId="0114A3C0" w14:textId="32487820" w:rsidR="0038110F" w:rsidRDefault="0038110F" w:rsidP="0038110F">
                      <w:pPr>
                        <w:pStyle w:val="Bibliografa"/>
                        <w:ind w:left="720" w:hanging="720"/>
                        <w:rPr>
                          <w:noProof/>
                          <w:lang w:val="es-ES"/>
                        </w:rPr>
                      </w:pPr>
                      <w:r>
                        <w:rPr>
                          <w:noProof/>
                          <w:lang w:val="es-ES"/>
                        </w:rPr>
                        <w:t xml:space="preserve">SEPREM. (s.f.). </w:t>
                      </w:r>
                      <w:r>
                        <w:rPr>
                          <w:i/>
                          <w:iCs/>
                          <w:noProof/>
                          <w:lang w:val="es-ES"/>
                        </w:rPr>
                        <w:t>Manual del Clasifica</w:t>
                      </w:r>
                      <w:r w:rsidR="001B5C20">
                        <w:rPr>
                          <w:i/>
                          <w:iCs/>
                          <w:noProof/>
                          <w:lang w:val="es-ES"/>
                        </w:rPr>
                        <w:t>d</w:t>
                      </w:r>
                      <w:r>
                        <w:rPr>
                          <w:i/>
                          <w:iCs/>
                          <w:noProof/>
                          <w:lang w:val="es-ES"/>
                        </w:rPr>
                        <w:t>or Presupuestario con Enfoque de Género.</w:t>
                      </w:r>
                      <w:r>
                        <w:rPr>
                          <w:noProof/>
                          <w:lang w:val="es-ES"/>
                        </w:rPr>
                        <w:t xml:space="preserve"> Guatemala.</w:t>
                      </w:r>
                    </w:p>
                    <w:p w14:paraId="746CB3F7" w14:textId="1350F508" w:rsidR="0038110F" w:rsidRDefault="0038110F">
                      <w:r>
                        <w:rPr>
                          <w:b/>
                          <w:bCs/>
                        </w:rPr>
                        <w:fldChar w:fldCharType="end"/>
                      </w:r>
                    </w:p>
                  </w:sdtContent>
                </w:sdt>
              </w:sdtContent>
            </w:sdt>
          </w:sdtContent>
        </w:sdt>
      </w:sdtContent>
    </w:sdt>
    <w:p w14:paraId="006E5901" w14:textId="77777777" w:rsidR="008C727C" w:rsidRDefault="008C727C">
      <w:pPr>
        <w:rPr>
          <w:rFonts w:asciiTheme="majorHAnsi" w:eastAsiaTheme="majorEastAsia" w:hAnsiTheme="majorHAnsi" w:cstheme="majorBidi"/>
          <w:color w:val="2F5496" w:themeColor="accent1" w:themeShade="BF"/>
          <w:sz w:val="32"/>
          <w:szCs w:val="32"/>
        </w:rPr>
      </w:pPr>
      <w:r>
        <w:br w:type="page"/>
      </w:r>
    </w:p>
    <w:p w14:paraId="2A153C31" w14:textId="6276BE45" w:rsidR="002863EB" w:rsidRDefault="003D4713" w:rsidP="00C179AF">
      <w:pPr>
        <w:pStyle w:val="Ttulo1"/>
        <w:jc w:val="center"/>
      </w:pPr>
      <w:bookmarkStart w:id="25" w:name="_Toc97558454"/>
      <w:bookmarkStart w:id="26" w:name="_Toc98759542"/>
      <w:r>
        <w:lastRenderedPageBreak/>
        <w:t>ANEXO</w:t>
      </w:r>
      <w:r w:rsidR="00207262">
        <w:t>S</w:t>
      </w:r>
      <w:bookmarkEnd w:id="25"/>
      <w:bookmarkEnd w:id="26"/>
    </w:p>
    <w:p w14:paraId="4C3551F5" w14:textId="1E581B53" w:rsidR="00207262" w:rsidRDefault="00A847BF" w:rsidP="00A847BF">
      <w:pPr>
        <w:spacing w:after="0" w:line="360" w:lineRule="auto"/>
        <w:jc w:val="center"/>
      </w:pPr>
      <w:r w:rsidRPr="00F16AC9">
        <w:rPr>
          <w:b/>
          <w:bCs/>
        </w:rPr>
        <w:t>ENTIDADES DE GOBIERNO CENTRAL ESTABLECIDAD EN EL PEI 2021 - 2025 DE SEPREM COMO META INSTITUCIONAL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261"/>
      </w:tblGrid>
      <w:tr w:rsidR="003D4713" w:rsidRPr="003D4713" w14:paraId="0C94B2D7" w14:textId="77777777" w:rsidTr="005113F8">
        <w:trPr>
          <w:trHeight w:val="315"/>
          <w:tblHeader/>
        </w:trPr>
        <w:tc>
          <w:tcPr>
            <w:tcW w:w="567" w:type="dxa"/>
            <w:shd w:val="clear" w:color="auto" w:fill="auto"/>
            <w:noWrap/>
            <w:vAlign w:val="center"/>
            <w:hideMark/>
          </w:tcPr>
          <w:p w14:paraId="6C5BD528" w14:textId="7607C4EB" w:rsidR="003D4713" w:rsidRPr="00A847BF" w:rsidRDefault="00A847BF" w:rsidP="003D4713">
            <w:pPr>
              <w:spacing w:after="0" w:line="240" w:lineRule="auto"/>
              <w:rPr>
                <w:b/>
                <w:bCs/>
              </w:rPr>
            </w:pPr>
            <w:r w:rsidRPr="00A847BF">
              <w:rPr>
                <w:b/>
                <w:bCs/>
              </w:rPr>
              <w:t>No.</w:t>
            </w:r>
          </w:p>
        </w:tc>
        <w:tc>
          <w:tcPr>
            <w:tcW w:w="8261" w:type="dxa"/>
            <w:shd w:val="clear" w:color="auto" w:fill="auto"/>
            <w:noWrap/>
            <w:vAlign w:val="center"/>
            <w:hideMark/>
          </w:tcPr>
          <w:p w14:paraId="1A0D5579" w14:textId="5171C1F0" w:rsidR="003D4713" w:rsidRPr="00A847BF" w:rsidRDefault="00A847BF" w:rsidP="00207262">
            <w:pPr>
              <w:spacing w:after="0" w:line="360" w:lineRule="auto"/>
              <w:jc w:val="center"/>
              <w:rPr>
                <w:b/>
                <w:bCs/>
              </w:rPr>
            </w:pPr>
            <w:r w:rsidRPr="00A847BF">
              <w:rPr>
                <w:b/>
                <w:bCs/>
              </w:rPr>
              <w:t>ENTIDADES</w:t>
            </w:r>
          </w:p>
        </w:tc>
      </w:tr>
      <w:tr w:rsidR="00207262" w:rsidRPr="003D4713" w14:paraId="36C97A09" w14:textId="77777777" w:rsidTr="005113F8">
        <w:trPr>
          <w:trHeight w:val="300"/>
        </w:trPr>
        <w:tc>
          <w:tcPr>
            <w:tcW w:w="567" w:type="dxa"/>
            <w:shd w:val="clear" w:color="000000" w:fill="FFFFFF"/>
            <w:noWrap/>
            <w:vAlign w:val="bottom"/>
            <w:hideMark/>
          </w:tcPr>
          <w:p w14:paraId="3F9D9834"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1</w:t>
            </w:r>
          </w:p>
        </w:tc>
        <w:tc>
          <w:tcPr>
            <w:tcW w:w="8261" w:type="dxa"/>
            <w:shd w:val="clear" w:color="000000" w:fill="FFFFFF"/>
            <w:noWrap/>
            <w:vAlign w:val="bottom"/>
            <w:hideMark/>
          </w:tcPr>
          <w:p w14:paraId="1BE4E247" w14:textId="77777777"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Ministerio de Relaciones Exteriores (MINEX)</w:t>
            </w:r>
          </w:p>
        </w:tc>
      </w:tr>
      <w:tr w:rsidR="00207262" w:rsidRPr="003D4713" w14:paraId="625A01AB" w14:textId="77777777" w:rsidTr="005113F8">
        <w:trPr>
          <w:trHeight w:val="300"/>
        </w:trPr>
        <w:tc>
          <w:tcPr>
            <w:tcW w:w="567" w:type="dxa"/>
            <w:shd w:val="clear" w:color="000000" w:fill="FFFFFF"/>
            <w:noWrap/>
            <w:vAlign w:val="bottom"/>
            <w:hideMark/>
          </w:tcPr>
          <w:p w14:paraId="6A5B869B"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2</w:t>
            </w:r>
          </w:p>
        </w:tc>
        <w:tc>
          <w:tcPr>
            <w:tcW w:w="8261" w:type="dxa"/>
            <w:shd w:val="clear" w:color="000000" w:fill="FFFFFF"/>
            <w:noWrap/>
            <w:vAlign w:val="bottom"/>
            <w:hideMark/>
          </w:tcPr>
          <w:p w14:paraId="5447D242" w14:textId="77777777"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Ministerio de Gobernación (MINGOB)</w:t>
            </w:r>
          </w:p>
        </w:tc>
      </w:tr>
      <w:tr w:rsidR="00207262" w:rsidRPr="003D4713" w14:paraId="46DBFA0E" w14:textId="77777777" w:rsidTr="005113F8">
        <w:trPr>
          <w:trHeight w:val="300"/>
        </w:trPr>
        <w:tc>
          <w:tcPr>
            <w:tcW w:w="567" w:type="dxa"/>
            <w:shd w:val="clear" w:color="000000" w:fill="FFFFFF"/>
            <w:noWrap/>
            <w:vAlign w:val="bottom"/>
            <w:hideMark/>
          </w:tcPr>
          <w:p w14:paraId="31FEF934"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3</w:t>
            </w:r>
          </w:p>
        </w:tc>
        <w:tc>
          <w:tcPr>
            <w:tcW w:w="8261" w:type="dxa"/>
            <w:shd w:val="clear" w:color="000000" w:fill="FFFFFF"/>
            <w:noWrap/>
            <w:vAlign w:val="bottom"/>
            <w:hideMark/>
          </w:tcPr>
          <w:p w14:paraId="1DAB11F1" w14:textId="2103CD3E"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Ministerio de la Defensa Nacional (MINDEF)</w:t>
            </w:r>
          </w:p>
        </w:tc>
      </w:tr>
      <w:tr w:rsidR="00207262" w:rsidRPr="003D4713" w14:paraId="1BE70EFF" w14:textId="77777777" w:rsidTr="005113F8">
        <w:trPr>
          <w:trHeight w:val="300"/>
        </w:trPr>
        <w:tc>
          <w:tcPr>
            <w:tcW w:w="567" w:type="dxa"/>
            <w:shd w:val="clear" w:color="000000" w:fill="FFFFFF"/>
            <w:noWrap/>
            <w:vAlign w:val="bottom"/>
            <w:hideMark/>
          </w:tcPr>
          <w:p w14:paraId="0014CB13"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4</w:t>
            </w:r>
          </w:p>
        </w:tc>
        <w:tc>
          <w:tcPr>
            <w:tcW w:w="8261" w:type="dxa"/>
            <w:shd w:val="clear" w:color="000000" w:fill="FFFFFF"/>
            <w:noWrap/>
            <w:vAlign w:val="bottom"/>
            <w:hideMark/>
          </w:tcPr>
          <w:p w14:paraId="38BF3F2A" w14:textId="77777777"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Ministerio de Finanzas Públicas (MINFIN)</w:t>
            </w:r>
          </w:p>
        </w:tc>
      </w:tr>
      <w:tr w:rsidR="00207262" w:rsidRPr="003D4713" w14:paraId="4E1B06D8" w14:textId="77777777" w:rsidTr="005113F8">
        <w:trPr>
          <w:trHeight w:val="300"/>
        </w:trPr>
        <w:tc>
          <w:tcPr>
            <w:tcW w:w="567" w:type="dxa"/>
            <w:shd w:val="clear" w:color="000000" w:fill="FFFFFF"/>
            <w:noWrap/>
            <w:vAlign w:val="bottom"/>
            <w:hideMark/>
          </w:tcPr>
          <w:p w14:paraId="0A36FA7F"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5</w:t>
            </w:r>
          </w:p>
        </w:tc>
        <w:tc>
          <w:tcPr>
            <w:tcW w:w="8261" w:type="dxa"/>
            <w:shd w:val="clear" w:color="000000" w:fill="FFFFFF"/>
            <w:noWrap/>
            <w:vAlign w:val="bottom"/>
            <w:hideMark/>
          </w:tcPr>
          <w:p w14:paraId="7A3493E7" w14:textId="77777777"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Ministerio de Educación (MINEDUC)</w:t>
            </w:r>
          </w:p>
        </w:tc>
      </w:tr>
      <w:tr w:rsidR="00207262" w:rsidRPr="003D4713" w14:paraId="4DA995CD" w14:textId="77777777" w:rsidTr="005113F8">
        <w:trPr>
          <w:trHeight w:val="300"/>
        </w:trPr>
        <w:tc>
          <w:tcPr>
            <w:tcW w:w="567" w:type="dxa"/>
            <w:shd w:val="clear" w:color="000000" w:fill="FFFFFF"/>
            <w:noWrap/>
            <w:vAlign w:val="bottom"/>
            <w:hideMark/>
          </w:tcPr>
          <w:p w14:paraId="7DE2651B"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6</w:t>
            </w:r>
          </w:p>
        </w:tc>
        <w:tc>
          <w:tcPr>
            <w:tcW w:w="8261" w:type="dxa"/>
            <w:shd w:val="clear" w:color="000000" w:fill="FFFFFF"/>
            <w:noWrap/>
            <w:vAlign w:val="bottom"/>
            <w:hideMark/>
          </w:tcPr>
          <w:p w14:paraId="714DB870" w14:textId="77777777"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Ministerio de Salud Pública y Asistencia Social (MSPAS)</w:t>
            </w:r>
          </w:p>
        </w:tc>
      </w:tr>
      <w:tr w:rsidR="00207262" w:rsidRPr="003D4713" w14:paraId="32438C16" w14:textId="77777777" w:rsidTr="005113F8">
        <w:trPr>
          <w:trHeight w:val="300"/>
        </w:trPr>
        <w:tc>
          <w:tcPr>
            <w:tcW w:w="567" w:type="dxa"/>
            <w:shd w:val="clear" w:color="000000" w:fill="FFFFFF"/>
            <w:noWrap/>
            <w:vAlign w:val="bottom"/>
            <w:hideMark/>
          </w:tcPr>
          <w:p w14:paraId="7DE4AFB6"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7</w:t>
            </w:r>
          </w:p>
        </w:tc>
        <w:tc>
          <w:tcPr>
            <w:tcW w:w="8261" w:type="dxa"/>
            <w:shd w:val="clear" w:color="000000" w:fill="FFFFFF"/>
            <w:noWrap/>
            <w:vAlign w:val="bottom"/>
            <w:hideMark/>
          </w:tcPr>
          <w:p w14:paraId="4935DBF1" w14:textId="77777777"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Ministerio de Trabajo y Previsión Social (MINTRAB)</w:t>
            </w:r>
          </w:p>
        </w:tc>
      </w:tr>
      <w:tr w:rsidR="00207262" w:rsidRPr="003D4713" w14:paraId="0190CAF8" w14:textId="77777777" w:rsidTr="005113F8">
        <w:trPr>
          <w:trHeight w:val="300"/>
        </w:trPr>
        <w:tc>
          <w:tcPr>
            <w:tcW w:w="567" w:type="dxa"/>
            <w:shd w:val="clear" w:color="000000" w:fill="FFFFFF"/>
            <w:noWrap/>
            <w:vAlign w:val="bottom"/>
            <w:hideMark/>
          </w:tcPr>
          <w:p w14:paraId="6461F22B"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8</w:t>
            </w:r>
          </w:p>
        </w:tc>
        <w:tc>
          <w:tcPr>
            <w:tcW w:w="8261" w:type="dxa"/>
            <w:shd w:val="clear" w:color="000000" w:fill="FFFFFF"/>
            <w:noWrap/>
            <w:vAlign w:val="bottom"/>
            <w:hideMark/>
          </w:tcPr>
          <w:p w14:paraId="1C945515" w14:textId="77777777"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Ministerio de Economía (MINECO)</w:t>
            </w:r>
          </w:p>
        </w:tc>
      </w:tr>
      <w:tr w:rsidR="00207262" w:rsidRPr="003D4713" w14:paraId="7DB97F3F" w14:textId="77777777" w:rsidTr="005113F8">
        <w:trPr>
          <w:trHeight w:val="300"/>
        </w:trPr>
        <w:tc>
          <w:tcPr>
            <w:tcW w:w="567" w:type="dxa"/>
            <w:shd w:val="clear" w:color="000000" w:fill="FFFFFF"/>
            <w:noWrap/>
            <w:vAlign w:val="bottom"/>
            <w:hideMark/>
          </w:tcPr>
          <w:p w14:paraId="2AC73262"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9</w:t>
            </w:r>
          </w:p>
        </w:tc>
        <w:tc>
          <w:tcPr>
            <w:tcW w:w="8261" w:type="dxa"/>
            <w:shd w:val="clear" w:color="000000" w:fill="FFFFFF"/>
            <w:noWrap/>
            <w:vAlign w:val="bottom"/>
            <w:hideMark/>
          </w:tcPr>
          <w:p w14:paraId="36E4AC79" w14:textId="77777777"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Ministerio de Agricultura, Ganadería y Alimentación (MAGA)</w:t>
            </w:r>
          </w:p>
        </w:tc>
      </w:tr>
      <w:tr w:rsidR="00207262" w:rsidRPr="003D4713" w14:paraId="3CD453B5" w14:textId="77777777" w:rsidTr="005113F8">
        <w:trPr>
          <w:trHeight w:val="300"/>
        </w:trPr>
        <w:tc>
          <w:tcPr>
            <w:tcW w:w="567" w:type="dxa"/>
            <w:shd w:val="clear" w:color="000000" w:fill="FFFFFF"/>
            <w:noWrap/>
            <w:vAlign w:val="bottom"/>
            <w:hideMark/>
          </w:tcPr>
          <w:p w14:paraId="5053A1F3"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10</w:t>
            </w:r>
          </w:p>
        </w:tc>
        <w:tc>
          <w:tcPr>
            <w:tcW w:w="8261" w:type="dxa"/>
            <w:shd w:val="clear" w:color="000000" w:fill="FFFFFF"/>
            <w:noWrap/>
            <w:vAlign w:val="center"/>
            <w:hideMark/>
          </w:tcPr>
          <w:p w14:paraId="3378D01A" w14:textId="77777777"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Ministerio de Comunicaciones, Infraestructura y Vivienda (CIV)</w:t>
            </w:r>
          </w:p>
        </w:tc>
      </w:tr>
      <w:tr w:rsidR="00207262" w:rsidRPr="003D4713" w14:paraId="6C054BFD" w14:textId="77777777" w:rsidTr="005113F8">
        <w:trPr>
          <w:trHeight w:val="300"/>
        </w:trPr>
        <w:tc>
          <w:tcPr>
            <w:tcW w:w="567" w:type="dxa"/>
            <w:shd w:val="clear" w:color="000000" w:fill="FFFFFF"/>
            <w:noWrap/>
            <w:vAlign w:val="bottom"/>
            <w:hideMark/>
          </w:tcPr>
          <w:p w14:paraId="389C0D90"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11</w:t>
            </w:r>
          </w:p>
        </w:tc>
        <w:tc>
          <w:tcPr>
            <w:tcW w:w="8261" w:type="dxa"/>
            <w:shd w:val="clear" w:color="000000" w:fill="FFFFFF"/>
            <w:noWrap/>
            <w:vAlign w:val="bottom"/>
            <w:hideMark/>
          </w:tcPr>
          <w:p w14:paraId="55C119BD" w14:textId="77777777"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Ministerio de Energía y Minas (MEM)</w:t>
            </w:r>
          </w:p>
        </w:tc>
      </w:tr>
      <w:tr w:rsidR="00207262" w:rsidRPr="003D4713" w14:paraId="57B51F3A" w14:textId="77777777" w:rsidTr="005113F8">
        <w:trPr>
          <w:trHeight w:val="300"/>
        </w:trPr>
        <w:tc>
          <w:tcPr>
            <w:tcW w:w="567" w:type="dxa"/>
            <w:shd w:val="clear" w:color="000000" w:fill="FFFFFF"/>
            <w:noWrap/>
            <w:vAlign w:val="bottom"/>
            <w:hideMark/>
          </w:tcPr>
          <w:p w14:paraId="22410B12"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12</w:t>
            </w:r>
          </w:p>
        </w:tc>
        <w:tc>
          <w:tcPr>
            <w:tcW w:w="8261" w:type="dxa"/>
            <w:shd w:val="clear" w:color="000000" w:fill="FFFFFF"/>
            <w:noWrap/>
            <w:vAlign w:val="bottom"/>
            <w:hideMark/>
          </w:tcPr>
          <w:p w14:paraId="34526338" w14:textId="77777777"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Ministerio de Cultura y Deportes (MCD)</w:t>
            </w:r>
          </w:p>
        </w:tc>
      </w:tr>
      <w:tr w:rsidR="00207262" w:rsidRPr="003D4713" w14:paraId="61A9321B" w14:textId="77777777" w:rsidTr="005113F8">
        <w:trPr>
          <w:trHeight w:val="300"/>
        </w:trPr>
        <w:tc>
          <w:tcPr>
            <w:tcW w:w="567" w:type="dxa"/>
            <w:shd w:val="clear" w:color="000000" w:fill="FFFFFF"/>
            <w:noWrap/>
            <w:vAlign w:val="bottom"/>
            <w:hideMark/>
          </w:tcPr>
          <w:p w14:paraId="5A7BE3A3"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13</w:t>
            </w:r>
          </w:p>
        </w:tc>
        <w:tc>
          <w:tcPr>
            <w:tcW w:w="8261" w:type="dxa"/>
            <w:shd w:val="clear" w:color="000000" w:fill="FFFFFF"/>
            <w:noWrap/>
            <w:vAlign w:val="bottom"/>
            <w:hideMark/>
          </w:tcPr>
          <w:p w14:paraId="5DD8CFCF" w14:textId="77777777"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Ministerio de Ambiente y Recursos Naturales (MARN)</w:t>
            </w:r>
          </w:p>
        </w:tc>
      </w:tr>
      <w:tr w:rsidR="00207262" w:rsidRPr="003D4713" w14:paraId="2E667C95" w14:textId="77777777" w:rsidTr="005113F8">
        <w:trPr>
          <w:trHeight w:val="300"/>
        </w:trPr>
        <w:tc>
          <w:tcPr>
            <w:tcW w:w="567" w:type="dxa"/>
            <w:shd w:val="clear" w:color="000000" w:fill="FFFFFF"/>
            <w:noWrap/>
            <w:vAlign w:val="bottom"/>
            <w:hideMark/>
          </w:tcPr>
          <w:p w14:paraId="32F423F4"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14</w:t>
            </w:r>
          </w:p>
        </w:tc>
        <w:tc>
          <w:tcPr>
            <w:tcW w:w="8261" w:type="dxa"/>
            <w:shd w:val="clear" w:color="000000" w:fill="FFFFFF"/>
            <w:noWrap/>
            <w:vAlign w:val="bottom"/>
            <w:hideMark/>
          </w:tcPr>
          <w:p w14:paraId="5B1421EE" w14:textId="77777777" w:rsidR="003D4713" w:rsidRPr="003D4713" w:rsidRDefault="003D4713" w:rsidP="003D4713">
            <w:pPr>
              <w:spacing w:after="0" w:line="240" w:lineRule="auto"/>
              <w:rPr>
                <w:rFonts w:ascii="Calibri" w:eastAsia="Times New Roman" w:hAnsi="Calibri" w:cs="Times New Roman"/>
                <w:color w:val="000000"/>
                <w:lang w:eastAsia="es-GT"/>
              </w:rPr>
            </w:pPr>
            <w:r w:rsidRPr="003D4713">
              <w:rPr>
                <w:rFonts w:ascii="Calibri" w:eastAsia="Times New Roman" w:hAnsi="Calibri" w:cs="Times New Roman"/>
                <w:color w:val="000000"/>
                <w:lang w:eastAsia="es-GT"/>
              </w:rPr>
              <w:t>Ministerio de Desarrollo Social (MIDES)</w:t>
            </w:r>
          </w:p>
        </w:tc>
      </w:tr>
      <w:tr w:rsidR="00207262" w:rsidRPr="003D4713" w14:paraId="31E12D55" w14:textId="77777777" w:rsidTr="005113F8">
        <w:trPr>
          <w:trHeight w:val="300"/>
        </w:trPr>
        <w:tc>
          <w:tcPr>
            <w:tcW w:w="567" w:type="dxa"/>
            <w:shd w:val="clear" w:color="auto" w:fill="auto"/>
            <w:noWrap/>
            <w:vAlign w:val="bottom"/>
            <w:hideMark/>
          </w:tcPr>
          <w:p w14:paraId="2CC620CB"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 </w:t>
            </w:r>
          </w:p>
        </w:tc>
        <w:tc>
          <w:tcPr>
            <w:tcW w:w="8261" w:type="dxa"/>
            <w:shd w:val="clear" w:color="auto" w:fill="auto"/>
            <w:noWrap/>
            <w:vAlign w:val="bottom"/>
            <w:hideMark/>
          </w:tcPr>
          <w:p w14:paraId="47E4DC38" w14:textId="77777777"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Secretaría Presidencial de la Mujer (SEPREM)</w:t>
            </w:r>
          </w:p>
        </w:tc>
      </w:tr>
      <w:tr w:rsidR="00207262" w:rsidRPr="003D4713" w14:paraId="3BC9EF09" w14:textId="77777777" w:rsidTr="005113F8">
        <w:trPr>
          <w:trHeight w:val="300"/>
        </w:trPr>
        <w:tc>
          <w:tcPr>
            <w:tcW w:w="567" w:type="dxa"/>
            <w:shd w:val="clear" w:color="000000" w:fill="FFFFFF"/>
            <w:noWrap/>
            <w:vAlign w:val="bottom"/>
            <w:hideMark/>
          </w:tcPr>
          <w:p w14:paraId="2694D951"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15</w:t>
            </w:r>
          </w:p>
        </w:tc>
        <w:tc>
          <w:tcPr>
            <w:tcW w:w="8261" w:type="dxa"/>
            <w:shd w:val="clear" w:color="000000" w:fill="FFFFFF"/>
            <w:noWrap/>
            <w:vAlign w:val="bottom"/>
            <w:hideMark/>
          </w:tcPr>
          <w:p w14:paraId="3761BE2F"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Secretaría de Coordinación Ejecutiva de la Presidencia (SCEP)</w:t>
            </w:r>
          </w:p>
        </w:tc>
      </w:tr>
      <w:tr w:rsidR="00207262" w:rsidRPr="003D4713" w14:paraId="0CE8DD53" w14:textId="77777777" w:rsidTr="005113F8">
        <w:trPr>
          <w:trHeight w:val="300"/>
        </w:trPr>
        <w:tc>
          <w:tcPr>
            <w:tcW w:w="567" w:type="dxa"/>
            <w:shd w:val="clear" w:color="000000" w:fill="FFFFFF"/>
            <w:noWrap/>
            <w:vAlign w:val="bottom"/>
            <w:hideMark/>
          </w:tcPr>
          <w:p w14:paraId="4CE3FD91"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16</w:t>
            </w:r>
          </w:p>
        </w:tc>
        <w:tc>
          <w:tcPr>
            <w:tcW w:w="8261" w:type="dxa"/>
            <w:shd w:val="clear" w:color="000000" w:fill="FFFFFF"/>
            <w:noWrap/>
            <w:vAlign w:val="bottom"/>
            <w:hideMark/>
          </w:tcPr>
          <w:p w14:paraId="61838096"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Secretaría de Comunicación Social de la Presidencia (SCSP)</w:t>
            </w:r>
          </w:p>
        </w:tc>
      </w:tr>
      <w:tr w:rsidR="00207262" w:rsidRPr="003D4713" w14:paraId="06706199" w14:textId="77777777" w:rsidTr="005113F8">
        <w:trPr>
          <w:trHeight w:val="300"/>
        </w:trPr>
        <w:tc>
          <w:tcPr>
            <w:tcW w:w="567" w:type="dxa"/>
            <w:shd w:val="clear" w:color="000000" w:fill="FFFFFF"/>
            <w:noWrap/>
            <w:vAlign w:val="bottom"/>
            <w:hideMark/>
          </w:tcPr>
          <w:p w14:paraId="5C7F8308"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17</w:t>
            </w:r>
          </w:p>
        </w:tc>
        <w:tc>
          <w:tcPr>
            <w:tcW w:w="8261" w:type="dxa"/>
            <w:shd w:val="clear" w:color="000000" w:fill="FFFFFF"/>
            <w:noWrap/>
            <w:vAlign w:val="bottom"/>
            <w:hideMark/>
          </w:tcPr>
          <w:p w14:paraId="22D2A77E" w14:textId="59417E54" w:rsidR="003D4713" w:rsidRPr="003D4713" w:rsidRDefault="00A847BF"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Secretaría</w:t>
            </w:r>
            <w:r w:rsidR="003D4713" w:rsidRPr="003D4713">
              <w:rPr>
                <w:rFonts w:ascii="Arial" w:eastAsia="Times New Roman" w:hAnsi="Arial" w:cs="Arial"/>
                <w:color w:val="000000"/>
                <w:sz w:val="20"/>
                <w:szCs w:val="20"/>
                <w:lang w:eastAsia="es-GT"/>
              </w:rPr>
              <w:t xml:space="preserve"> de Bienestar Social de la Presidencia (SBS)</w:t>
            </w:r>
          </w:p>
        </w:tc>
      </w:tr>
      <w:tr w:rsidR="00207262" w:rsidRPr="003D4713" w14:paraId="58F7E714" w14:textId="77777777" w:rsidTr="005113F8">
        <w:trPr>
          <w:trHeight w:val="300"/>
        </w:trPr>
        <w:tc>
          <w:tcPr>
            <w:tcW w:w="567" w:type="dxa"/>
            <w:shd w:val="clear" w:color="auto" w:fill="auto"/>
            <w:noWrap/>
            <w:vAlign w:val="bottom"/>
            <w:hideMark/>
          </w:tcPr>
          <w:p w14:paraId="205CCF60"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18</w:t>
            </w:r>
          </w:p>
        </w:tc>
        <w:tc>
          <w:tcPr>
            <w:tcW w:w="8261" w:type="dxa"/>
            <w:shd w:val="clear" w:color="auto" w:fill="auto"/>
            <w:noWrap/>
            <w:vAlign w:val="bottom"/>
            <w:hideMark/>
          </w:tcPr>
          <w:p w14:paraId="238C5079" w14:textId="4DF628BC"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Secretaría de la Paz (SEPAZ)</w:t>
            </w:r>
            <w:r w:rsidR="009C5A21">
              <w:rPr>
                <w:rFonts w:ascii="Arial" w:eastAsia="Times New Roman" w:hAnsi="Arial" w:cs="Arial"/>
                <w:color w:val="000000"/>
                <w:sz w:val="20"/>
                <w:szCs w:val="20"/>
                <w:lang w:eastAsia="es-GT"/>
              </w:rPr>
              <w:t>*</w:t>
            </w:r>
          </w:p>
        </w:tc>
      </w:tr>
      <w:tr w:rsidR="00207262" w:rsidRPr="003D4713" w14:paraId="554F533A" w14:textId="77777777" w:rsidTr="005113F8">
        <w:trPr>
          <w:trHeight w:val="300"/>
        </w:trPr>
        <w:tc>
          <w:tcPr>
            <w:tcW w:w="567" w:type="dxa"/>
            <w:shd w:val="clear" w:color="000000" w:fill="FFFFFF"/>
            <w:noWrap/>
            <w:vAlign w:val="bottom"/>
            <w:hideMark/>
          </w:tcPr>
          <w:p w14:paraId="3968E227"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19</w:t>
            </w:r>
          </w:p>
        </w:tc>
        <w:tc>
          <w:tcPr>
            <w:tcW w:w="8261" w:type="dxa"/>
            <w:shd w:val="clear" w:color="000000" w:fill="FFFFFF"/>
            <w:vAlign w:val="bottom"/>
            <w:hideMark/>
          </w:tcPr>
          <w:p w14:paraId="07B8BDA0"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Secretaría de Planificación y Programación de la Presidencia (SEGEPLAN)</w:t>
            </w:r>
          </w:p>
        </w:tc>
      </w:tr>
      <w:tr w:rsidR="00207262" w:rsidRPr="003D4713" w14:paraId="00E6237D" w14:textId="77777777" w:rsidTr="005113F8">
        <w:trPr>
          <w:trHeight w:val="300"/>
        </w:trPr>
        <w:tc>
          <w:tcPr>
            <w:tcW w:w="567" w:type="dxa"/>
            <w:shd w:val="clear" w:color="000000" w:fill="FFFFFF"/>
            <w:noWrap/>
            <w:vAlign w:val="bottom"/>
            <w:hideMark/>
          </w:tcPr>
          <w:p w14:paraId="5F38C96F"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20</w:t>
            </w:r>
          </w:p>
        </w:tc>
        <w:tc>
          <w:tcPr>
            <w:tcW w:w="8261" w:type="dxa"/>
            <w:shd w:val="clear" w:color="000000" w:fill="FFFFFF"/>
            <w:vAlign w:val="bottom"/>
            <w:hideMark/>
          </w:tcPr>
          <w:p w14:paraId="2094A0B6"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Secretaría Ejecutiva de la Comisión contra el Tráfico Ilícito de Drogas (SECCATID)</w:t>
            </w:r>
          </w:p>
        </w:tc>
      </w:tr>
      <w:tr w:rsidR="00207262" w:rsidRPr="003D4713" w14:paraId="0A4BE1D7" w14:textId="77777777" w:rsidTr="005113F8">
        <w:trPr>
          <w:trHeight w:val="300"/>
        </w:trPr>
        <w:tc>
          <w:tcPr>
            <w:tcW w:w="567" w:type="dxa"/>
            <w:shd w:val="clear" w:color="000000" w:fill="FFFFFF"/>
            <w:noWrap/>
            <w:vAlign w:val="bottom"/>
            <w:hideMark/>
          </w:tcPr>
          <w:p w14:paraId="17EC1CD3"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21</w:t>
            </w:r>
          </w:p>
        </w:tc>
        <w:tc>
          <w:tcPr>
            <w:tcW w:w="8261" w:type="dxa"/>
            <w:shd w:val="clear" w:color="000000" w:fill="FFFFFF"/>
            <w:noWrap/>
            <w:vAlign w:val="bottom"/>
            <w:hideMark/>
          </w:tcPr>
          <w:p w14:paraId="581A76C9"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Secretaría Nacional de Ciencia y Tecnología (SENACYT)</w:t>
            </w:r>
          </w:p>
        </w:tc>
      </w:tr>
      <w:tr w:rsidR="00207262" w:rsidRPr="003D4713" w14:paraId="1CE0FEA9" w14:textId="77777777" w:rsidTr="005113F8">
        <w:trPr>
          <w:trHeight w:val="300"/>
        </w:trPr>
        <w:tc>
          <w:tcPr>
            <w:tcW w:w="567" w:type="dxa"/>
            <w:shd w:val="clear" w:color="000000" w:fill="FFFFFF"/>
            <w:noWrap/>
            <w:vAlign w:val="bottom"/>
            <w:hideMark/>
          </w:tcPr>
          <w:p w14:paraId="1C23A49D"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22</w:t>
            </w:r>
          </w:p>
        </w:tc>
        <w:tc>
          <w:tcPr>
            <w:tcW w:w="8261" w:type="dxa"/>
            <w:shd w:val="clear" w:color="000000" w:fill="FFFFFF"/>
            <w:vAlign w:val="bottom"/>
            <w:hideMark/>
          </w:tcPr>
          <w:p w14:paraId="1E6ED4A8"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 xml:space="preserve">Secretaría de Obras Sociales de la Esposa del </w:t>
            </w:r>
            <w:proofErr w:type="gramStart"/>
            <w:r w:rsidRPr="003D4713">
              <w:rPr>
                <w:rFonts w:ascii="Arial" w:eastAsia="Times New Roman" w:hAnsi="Arial" w:cs="Arial"/>
                <w:color w:val="000000"/>
                <w:sz w:val="20"/>
                <w:szCs w:val="20"/>
                <w:lang w:eastAsia="es-GT"/>
              </w:rPr>
              <w:t>Presidente</w:t>
            </w:r>
            <w:proofErr w:type="gramEnd"/>
            <w:r w:rsidRPr="003D4713">
              <w:rPr>
                <w:rFonts w:ascii="Arial" w:eastAsia="Times New Roman" w:hAnsi="Arial" w:cs="Arial"/>
                <w:color w:val="000000"/>
                <w:sz w:val="20"/>
                <w:szCs w:val="20"/>
                <w:lang w:eastAsia="es-GT"/>
              </w:rPr>
              <w:t xml:space="preserve"> (SOSEP)</w:t>
            </w:r>
          </w:p>
        </w:tc>
      </w:tr>
      <w:tr w:rsidR="00207262" w:rsidRPr="003D4713" w14:paraId="0746990F" w14:textId="77777777" w:rsidTr="005113F8">
        <w:trPr>
          <w:trHeight w:val="300"/>
        </w:trPr>
        <w:tc>
          <w:tcPr>
            <w:tcW w:w="567" w:type="dxa"/>
            <w:shd w:val="clear" w:color="000000" w:fill="FFFFFF"/>
            <w:noWrap/>
            <w:vAlign w:val="bottom"/>
            <w:hideMark/>
          </w:tcPr>
          <w:p w14:paraId="7E9653C3"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23</w:t>
            </w:r>
          </w:p>
        </w:tc>
        <w:tc>
          <w:tcPr>
            <w:tcW w:w="8261" w:type="dxa"/>
            <w:shd w:val="clear" w:color="000000" w:fill="FFFFFF"/>
            <w:noWrap/>
            <w:vAlign w:val="bottom"/>
            <w:hideMark/>
          </w:tcPr>
          <w:p w14:paraId="68184CC9"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Secretaría de Asuntos Agrarios de la Presidencia (SAA)</w:t>
            </w:r>
          </w:p>
        </w:tc>
      </w:tr>
      <w:tr w:rsidR="00207262" w:rsidRPr="003D4713" w14:paraId="58DF8F40" w14:textId="77777777" w:rsidTr="005113F8">
        <w:trPr>
          <w:trHeight w:val="300"/>
        </w:trPr>
        <w:tc>
          <w:tcPr>
            <w:tcW w:w="567" w:type="dxa"/>
            <w:shd w:val="clear" w:color="000000" w:fill="FFFFFF"/>
            <w:noWrap/>
            <w:vAlign w:val="bottom"/>
            <w:hideMark/>
          </w:tcPr>
          <w:p w14:paraId="3A6A865A"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24</w:t>
            </w:r>
          </w:p>
        </w:tc>
        <w:tc>
          <w:tcPr>
            <w:tcW w:w="8261" w:type="dxa"/>
            <w:shd w:val="clear" w:color="000000" w:fill="FFFFFF"/>
            <w:vAlign w:val="bottom"/>
            <w:hideMark/>
          </w:tcPr>
          <w:p w14:paraId="23B1037D" w14:textId="7650AC6D"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 xml:space="preserve">Secretaría de Seguridad </w:t>
            </w:r>
            <w:r w:rsidR="00C378EB" w:rsidRPr="003D4713">
              <w:rPr>
                <w:rFonts w:ascii="Arial" w:eastAsia="Times New Roman" w:hAnsi="Arial" w:cs="Arial"/>
                <w:color w:val="000000"/>
                <w:sz w:val="20"/>
                <w:szCs w:val="20"/>
                <w:lang w:eastAsia="es-GT"/>
              </w:rPr>
              <w:t>Alimentaria</w:t>
            </w:r>
            <w:r w:rsidRPr="003D4713">
              <w:rPr>
                <w:rFonts w:ascii="Arial" w:eastAsia="Times New Roman" w:hAnsi="Arial" w:cs="Arial"/>
                <w:color w:val="000000"/>
                <w:sz w:val="20"/>
                <w:szCs w:val="20"/>
                <w:lang w:eastAsia="es-GT"/>
              </w:rPr>
              <w:t xml:space="preserve"> y Nutricional de la Presidencia (SESAN)</w:t>
            </w:r>
          </w:p>
        </w:tc>
      </w:tr>
      <w:tr w:rsidR="00207262" w:rsidRPr="003D4713" w14:paraId="4D805A61" w14:textId="77777777" w:rsidTr="005113F8">
        <w:trPr>
          <w:trHeight w:val="300"/>
        </w:trPr>
        <w:tc>
          <w:tcPr>
            <w:tcW w:w="567" w:type="dxa"/>
            <w:shd w:val="clear" w:color="000000" w:fill="FFFFFF"/>
            <w:noWrap/>
            <w:vAlign w:val="bottom"/>
            <w:hideMark/>
          </w:tcPr>
          <w:p w14:paraId="138776F9"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25</w:t>
            </w:r>
          </w:p>
        </w:tc>
        <w:tc>
          <w:tcPr>
            <w:tcW w:w="8261" w:type="dxa"/>
            <w:shd w:val="clear" w:color="000000" w:fill="FFFFFF"/>
            <w:noWrap/>
            <w:vAlign w:val="bottom"/>
            <w:hideMark/>
          </w:tcPr>
          <w:p w14:paraId="4EEBF770"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Secretaría de Inteligencia Estratégica del Estado (SIE)</w:t>
            </w:r>
          </w:p>
        </w:tc>
      </w:tr>
      <w:tr w:rsidR="00207262" w:rsidRPr="003D4713" w14:paraId="02805EBA" w14:textId="77777777" w:rsidTr="005113F8">
        <w:trPr>
          <w:trHeight w:val="300"/>
        </w:trPr>
        <w:tc>
          <w:tcPr>
            <w:tcW w:w="567" w:type="dxa"/>
            <w:shd w:val="clear" w:color="000000" w:fill="FFFFFF"/>
            <w:noWrap/>
            <w:vAlign w:val="bottom"/>
            <w:hideMark/>
          </w:tcPr>
          <w:p w14:paraId="50181B25"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26</w:t>
            </w:r>
          </w:p>
        </w:tc>
        <w:tc>
          <w:tcPr>
            <w:tcW w:w="8261" w:type="dxa"/>
            <w:shd w:val="clear" w:color="000000" w:fill="FFFFFF"/>
            <w:noWrap/>
            <w:vAlign w:val="bottom"/>
            <w:hideMark/>
          </w:tcPr>
          <w:p w14:paraId="47D64776"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Secretaría Técnica del Consejo Nacional de Seguridad (STCNS)</w:t>
            </w:r>
          </w:p>
        </w:tc>
      </w:tr>
      <w:tr w:rsidR="00207262" w:rsidRPr="003D4713" w14:paraId="03156AF3" w14:textId="77777777" w:rsidTr="005113F8">
        <w:trPr>
          <w:trHeight w:val="300"/>
        </w:trPr>
        <w:tc>
          <w:tcPr>
            <w:tcW w:w="567" w:type="dxa"/>
            <w:shd w:val="clear" w:color="000000" w:fill="FFFFFF"/>
            <w:noWrap/>
            <w:vAlign w:val="bottom"/>
            <w:hideMark/>
          </w:tcPr>
          <w:p w14:paraId="11BEA56B"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27</w:t>
            </w:r>
          </w:p>
        </w:tc>
        <w:tc>
          <w:tcPr>
            <w:tcW w:w="8261" w:type="dxa"/>
            <w:shd w:val="clear" w:color="000000" w:fill="FFFFFF"/>
            <w:noWrap/>
            <w:vAlign w:val="bottom"/>
            <w:hideMark/>
          </w:tcPr>
          <w:p w14:paraId="59DCB4EA"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Secretaría Contra la Violencia Sexual, Explotación y Trata de Personas (SVET)</w:t>
            </w:r>
          </w:p>
        </w:tc>
      </w:tr>
      <w:tr w:rsidR="00207262" w:rsidRPr="003D4713" w14:paraId="08D5E0E2" w14:textId="77777777" w:rsidTr="005113F8">
        <w:trPr>
          <w:trHeight w:val="300"/>
        </w:trPr>
        <w:tc>
          <w:tcPr>
            <w:tcW w:w="567" w:type="dxa"/>
            <w:shd w:val="clear" w:color="000000" w:fill="FFFFFF"/>
            <w:noWrap/>
            <w:vAlign w:val="bottom"/>
            <w:hideMark/>
          </w:tcPr>
          <w:p w14:paraId="67B49C01"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28</w:t>
            </w:r>
          </w:p>
        </w:tc>
        <w:tc>
          <w:tcPr>
            <w:tcW w:w="8261" w:type="dxa"/>
            <w:shd w:val="clear" w:color="000000" w:fill="FFFFFF"/>
            <w:noWrap/>
            <w:vAlign w:val="bottom"/>
            <w:hideMark/>
          </w:tcPr>
          <w:p w14:paraId="16D1C742"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Secretaría Nacional de Administración de bienes en Extinción de Dominio (</w:t>
            </w:r>
            <w:proofErr w:type="spellStart"/>
            <w:r w:rsidRPr="003D4713">
              <w:rPr>
                <w:rFonts w:ascii="Arial" w:eastAsia="Times New Roman" w:hAnsi="Arial" w:cs="Arial"/>
                <w:color w:val="000000"/>
                <w:sz w:val="20"/>
                <w:szCs w:val="20"/>
                <w:lang w:eastAsia="es-GT"/>
              </w:rPr>
              <w:t>Senabed</w:t>
            </w:r>
            <w:proofErr w:type="spellEnd"/>
            <w:r w:rsidRPr="003D4713">
              <w:rPr>
                <w:rFonts w:ascii="Arial" w:eastAsia="Times New Roman" w:hAnsi="Arial" w:cs="Arial"/>
                <w:color w:val="000000"/>
                <w:sz w:val="20"/>
                <w:szCs w:val="20"/>
                <w:lang w:eastAsia="es-GT"/>
              </w:rPr>
              <w:t>)</w:t>
            </w:r>
          </w:p>
        </w:tc>
      </w:tr>
      <w:tr w:rsidR="00207262" w:rsidRPr="003D4713" w14:paraId="6B9EB39B" w14:textId="77777777" w:rsidTr="005113F8">
        <w:trPr>
          <w:trHeight w:val="300"/>
        </w:trPr>
        <w:tc>
          <w:tcPr>
            <w:tcW w:w="567" w:type="dxa"/>
            <w:shd w:val="clear" w:color="000000" w:fill="FFFFFF"/>
            <w:noWrap/>
            <w:vAlign w:val="bottom"/>
            <w:hideMark/>
          </w:tcPr>
          <w:p w14:paraId="1020F088"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29</w:t>
            </w:r>
          </w:p>
        </w:tc>
        <w:tc>
          <w:tcPr>
            <w:tcW w:w="8261" w:type="dxa"/>
            <w:shd w:val="clear" w:color="000000" w:fill="FFFFFF"/>
            <w:noWrap/>
            <w:vAlign w:val="bottom"/>
            <w:hideMark/>
          </w:tcPr>
          <w:p w14:paraId="5AB84E3F"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Secretaria de Coordinación para la Reducción de Desastres SECONRED</w:t>
            </w:r>
          </w:p>
        </w:tc>
      </w:tr>
      <w:tr w:rsidR="00207262" w:rsidRPr="003D4713" w14:paraId="4E4A6212" w14:textId="77777777" w:rsidTr="005113F8">
        <w:trPr>
          <w:trHeight w:val="300"/>
        </w:trPr>
        <w:tc>
          <w:tcPr>
            <w:tcW w:w="567" w:type="dxa"/>
            <w:shd w:val="clear" w:color="000000" w:fill="FFFFFF"/>
            <w:noWrap/>
            <w:vAlign w:val="bottom"/>
            <w:hideMark/>
          </w:tcPr>
          <w:p w14:paraId="425D30A7"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30</w:t>
            </w:r>
          </w:p>
        </w:tc>
        <w:tc>
          <w:tcPr>
            <w:tcW w:w="8261" w:type="dxa"/>
            <w:shd w:val="clear" w:color="000000" w:fill="FFFFFF"/>
            <w:noWrap/>
            <w:vAlign w:val="bottom"/>
            <w:hideMark/>
          </w:tcPr>
          <w:p w14:paraId="0C204D83" w14:textId="77777777"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Secretaria General de la Presidencia SGP</w:t>
            </w:r>
          </w:p>
        </w:tc>
      </w:tr>
      <w:tr w:rsidR="00207262" w:rsidRPr="003D4713" w14:paraId="7F38B011" w14:textId="77777777" w:rsidTr="005113F8">
        <w:trPr>
          <w:trHeight w:val="300"/>
        </w:trPr>
        <w:tc>
          <w:tcPr>
            <w:tcW w:w="567" w:type="dxa"/>
            <w:shd w:val="clear" w:color="000000" w:fill="FFFFFF"/>
            <w:noWrap/>
            <w:vAlign w:val="bottom"/>
            <w:hideMark/>
          </w:tcPr>
          <w:p w14:paraId="16A13152"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31</w:t>
            </w:r>
          </w:p>
        </w:tc>
        <w:tc>
          <w:tcPr>
            <w:tcW w:w="8261" w:type="dxa"/>
            <w:shd w:val="clear" w:color="000000" w:fill="FFFFFF"/>
            <w:noWrap/>
            <w:vAlign w:val="bottom"/>
            <w:hideMark/>
          </w:tcPr>
          <w:p w14:paraId="40EDD607" w14:textId="77777777"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Secretaría Privada de la Presidencia SPP</w:t>
            </w:r>
          </w:p>
        </w:tc>
      </w:tr>
      <w:tr w:rsidR="00207262" w:rsidRPr="003D4713" w14:paraId="2A01A0E4" w14:textId="77777777" w:rsidTr="005113F8">
        <w:trPr>
          <w:trHeight w:val="300"/>
        </w:trPr>
        <w:tc>
          <w:tcPr>
            <w:tcW w:w="567" w:type="dxa"/>
            <w:shd w:val="clear" w:color="000000" w:fill="FFFFFF"/>
            <w:noWrap/>
            <w:vAlign w:val="bottom"/>
            <w:hideMark/>
          </w:tcPr>
          <w:p w14:paraId="3CC78119"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32</w:t>
            </w:r>
          </w:p>
        </w:tc>
        <w:tc>
          <w:tcPr>
            <w:tcW w:w="8261" w:type="dxa"/>
            <w:shd w:val="clear" w:color="000000" w:fill="FFFFFF"/>
            <w:vAlign w:val="bottom"/>
            <w:hideMark/>
          </w:tcPr>
          <w:p w14:paraId="4CB07EE9"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Academia de Lenguas Mayas (ALMG)</w:t>
            </w:r>
          </w:p>
        </w:tc>
      </w:tr>
      <w:tr w:rsidR="00207262" w:rsidRPr="003D4713" w14:paraId="2ABB7CA7" w14:textId="77777777" w:rsidTr="005113F8">
        <w:trPr>
          <w:trHeight w:val="300"/>
        </w:trPr>
        <w:tc>
          <w:tcPr>
            <w:tcW w:w="567" w:type="dxa"/>
            <w:shd w:val="clear" w:color="000000" w:fill="FFFFFF"/>
            <w:noWrap/>
            <w:vAlign w:val="bottom"/>
            <w:hideMark/>
          </w:tcPr>
          <w:p w14:paraId="1B86020E"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33</w:t>
            </w:r>
          </w:p>
        </w:tc>
        <w:tc>
          <w:tcPr>
            <w:tcW w:w="8261" w:type="dxa"/>
            <w:shd w:val="clear" w:color="000000" w:fill="FFFFFF"/>
            <w:noWrap/>
            <w:vAlign w:val="center"/>
            <w:hideMark/>
          </w:tcPr>
          <w:p w14:paraId="7F09818A"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Comisión Presidencial contra la Discriminación y el Racismo contra los Pueblos Indígenas en Guatemala (CODISRA)</w:t>
            </w:r>
          </w:p>
        </w:tc>
      </w:tr>
      <w:tr w:rsidR="00207262" w:rsidRPr="003D4713" w14:paraId="786D2693" w14:textId="77777777" w:rsidTr="005113F8">
        <w:trPr>
          <w:trHeight w:val="300"/>
        </w:trPr>
        <w:tc>
          <w:tcPr>
            <w:tcW w:w="567" w:type="dxa"/>
            <w:shd w:val="clear" w:color="auto" w:fill="auto"/>
            <w:noWrap/>
            <w:vAlign w:val="bottom"/>
            <w:hideMark/>
          </w:tcPr>
          <w:p w14:paraId="75A9CD55"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34</w:t>
            </w:r>
          </w:p>
        </w:tc>
        <w:tc>
          <w:tcPr>
            <w:tcW w:w="8261" w:type="dxa"/>
            <w:shd w:val="clear" w:color="auto" w:fill="auto"/>
            <w:noWrap/>
            <w:vAlign w:val="bottom"/>
            <w:hideMark/>
          </w:tcPr>
          <w:p w14:paraId="0E373EB4"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Comisión Presidencial Coordinadora de Derechos Humanos (COPREDEH)</w:t>
            </w:r>
          </w:p>
        </w:tc>
      </w:tr>
      <w:tr w:rsidR="00207262" w:rsidRPr="003D4713" w14:paraId="3829086D" w14:textId="77777777" w:rsidTr="005113F8">
        <w:trPr>
          <w:trHeight w:val="300"/>
        </w:trPr>
        <w:tc>
          <w:tcPr>
            <w:tcW w:w="567" w:type="dxa"/>
            <w:shd w:val="clear" w:color="000000" w:fill="FFFFFF"/>
            <w:noWrap/>
            <w:vAlign w:val="bottom"/>
            <w:hideMark/>
          </w:tcPr>
          <w:p w14:paraId="0E6DD588"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35</w:t>
            </w:r>
          </w:p>
        </w:tc>
        <w:tc>
          <w:tcPr>
            <w:tcW w:w="8261" w:type="dxa"/>
            <w:shd w:val="clear" w:color="000000" w:fill="FFFFFF"/>
            <w:noWrap/>
            <w:vAlign w:val="bottom"/>
            <w:hideMark/>
          </w:tcPr>
          <w:p w14:paraId="26A58D43" w14:textId="0E5FB614" w:rsidR="003D4713" w:rsidRPr="003D4713" w:rsidRDefault="003D4713" w:rsidP="003D4713">
            <w:pPr>
              <w:spacing w:after="0" w:line="240" w:lineRule="auto"/>
              <w:jc w:val="both"/>
              <w:rPr>
                <w:rFonts w:ascii="Arial" w:eastAsia="Times New Roman" w:hAnsi="Arial" w:cs="Arial"/>
                <w:sz w:val="20"/>
                <w:szCs w:val="20"/>
                <w:lang w:eastAsia="es-GT"/>
              </w:rPr>
            </w:pPr>
            <w:r w:rsidRPr="003D4713">
              <w:rPr>
                <w:rFonts w:ascii="Arial" w:eastAsia="Times New Roman" w:hAnsi="Arial" w:cs="Arial"/>
                <w:sz w:val="20"/>
                <w:szCs w:val="20"/>
                <w:lang w:eastAsia="es-GT"/>
              </w:rPr>
              <w:t xml:space="preserve">Comité Nacional de </w:t>
            </w:r>
            <w:r w:rsidR="00207262" w:rsidRPr="003D4713">
              <w:rPr>
                <w:rFonts w:ascii="Arial" w:eastAsia="Times New Roman" w:hAnsi="Arial" w:cs="Arial"/>
                <w:sz w:val="20"/>
                <w:szCs w:val="20"/>
                <w:lang w:eastAsia="es-GT"/>
              </w:rPr>
              <w:t>Alfabetización (</w:t>
            </w:r>
            <w:r w:rsidRPr="003D4713">
              <w:rPr>
                <w:rFonts w:ascii="Arial" w:eastAsia="Times New Roman" w:hAnsi="Arial" w:cs="Arial"/>
                <w:sz w:val="20"/>
                <w:szCs w:val="20"/>
                <w:lang w:eastAsia="es-GT"/>
              </w:rPr>
              <w:t>CONALFA)</w:t>
            </w:r>
          </w:p>
        </w:tc>
      </w:tr>
      <w:tr w:rsidR="00207262" w:rsidRPr="003D4713" w14:paraId="311DF555" w14:textId="77777777" w:rsidTr="005113F8">
        <w:trPr>
          <w:trHeight w:val="300"/>
        </w:trPr>
        <w:tc>
          <w:tcPr>
            <w:tcW w:w="567" w:type="dxa"/>
            <w:shd w:val="clear" w:color="000000" w:fill="FFFFFF"/>
            <w:noWrap/>
            <w:vAlign w:val="bottom"/>
            <w:hideMark/>
          </w:tcPr>
          <w:p w14:paraId="19350335"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lastRenderedPageBreak/>
              <w:t>36</w:t>
            </w:r>
          </w:p>
        </w:tc>
        <w:tc>
          <w:tcPr>
            <w:tcW w:w="8261" w:type="dxa"/>
            <w:shd w:val="clear" w:color="000000" w:fill="FFFFFF"/>
            <w:noWrap/>
            <w:vAlign w:val="bottom"/>
            <w:hideMark/>
          </w:tcPr>
          <w:p w14:paraId="21C8D848"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Comité Olímpico Guatemalteco (COG)</w:t>
            </w:r>
          </w:p>
        </w:tc>
      </w:tr>
      <w:tr w:rsidR="00207262" w:rsidRPr="003D4713" w14:paraId="32FE56F4" w14:textId="77777777" w:rsidTr="005113F8">
        <w:trPr>
          <w:trHeight w:val="300"/>
        </w:trPr>
        <w:tc>
          <w:tcPr>
            <w:tcW w:w="567" w:type="dxa"/>
            <w:shd w:val="clear" w:color="000000" w:fill="FFFFFF"/>
            <w:noWrap/>
            <w:vAlign w:val="bottom"/>
            <w:hideMark/>
          </w:tcPr>
          <w:p w14:paraId="65599A0A"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37</w:t>
            </w:r>
          </w:p>
        </w:tc>
        <w:tc>
          <w:tcPr>
            <w:tcW w:w="8261" w:type="dxa"/>
            <w:shd w:val="clear" w:color="000000" w:fill="FFFFFF"/>
            <w:noWrap/>
            <w:vAlign w:val="bottom"/>
            <w:hideMark/>
          </w:tcPr>
          <w:p w14:paraId="39775B82"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Confederación Deportiva Autónoma de Guatemala (CDAG)</w:t>
            </w:r>
          </w:p>
        </w:tc>
      </w:tr>
      <w:tr w:rsidR="00207262" w:rsidRPr="003D4713" w14:paraId="182AA473" w14:textId="77777777" w:rsidTr="005113F8">
        <w:trPr>
          <w:trHeight w:val="300"/>
        </w:trPr>
        <w:tc>
          <w:tcPr>
            <w:tcW w:w="567" w:type="dxa"/>
            <w:shd w:val="clear" w:color="000000" w:fill="FFFFFF"/>
            <w:noWrap/>
            <w:vAlign w:val="bottom"/>
            <w:hideMark/>
          </w:tcPr>
          <w:p w14:paraId="625AA87A"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38</w:t>
            </w:r>
          </w:p>
        </w:tc>
        <w:tc>
          <w:tcPr>
            <w:tcW w:w="8261" w:type="dxa"/>
            <w:shd w:val="clear" w:color="000000" w:fill="FFFFFF"/>
            <w:noWrap/>
            <w:vAlign w:val="bottom"/>
            <w:hideMark/>
          </w:tcPr>
          <w:p w14:paraId="4AFE485B"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Consejo Nacional de Adopciones (CNA)</w:t>
            </w:r>
          </w:p>
        </w:tc>
      </w:tr>
      <w:tr w:rsidR="00207262" w:rsidRPr="003D4713" w14:paraId="3D9E42E0" w14:textId="77777777" w:rsidTr="005113F8">
        <w:trPr>
          <w:trHeight w:val="300"/>
        </w:trPr>
        <w:tc>
          <w:tcPr>
            <w:tcW w:w="567" w:type="dxa"/>
            <w:shd w:val="clear" w:color="000000" w:fill="FFFFFF"/>
            <w:noWrap/>
            <w:vAlign w:val="bottom"/>
            <w:hideMark/>
          </w:tcPr>
          <w:p w14:paraId="36F39E01"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39</w:t>
            </w:r>
          </w:p>
        </w:tc>
        <w:tc>
          <w:tcPr>
            <w:tcW w:w="8261" w:type="dxa"/>
            <w:shd w:val="clear" w:color="000000" w:fill="FFFFFF"/>
            <w:noWrap/>
            <w:vAlign w:val="bottom"/>
            <w:hideMark/>
          </w:tcPr>
          <w:p w14:paraId="3B01581E" w14:textId="65380675"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 xml:space="preserve">Consejo Nacional de </w:t>
            </w:r>
            <w:r w:rsidR="00207262" w:rsidRPr="003D4713">
              <w:rPr>
                <w:rFonts w:ascii="Arial" w:eastAsia="Times New Roman" w:hAnsi="Arial" w:cs="Arial"/>
                <w:color w:val="000000"/>
                <w:sz w:val="20"/>
                <w:szCs w:val="20"/>
                <w:lang w:eastAsia="es-GT"/>
              </w:rPr>
              <w:t>Áreas</w:t>
            </w:r>
            <w:r w:rsidRPr="003D4713">
              <w:rPr>
                <w:rFonts w:ascii="Arial" w:eastAsia="Times New Roman" w:hAnsi="Arial" w:cs="Arial"/>
                <w:color w:val="000000"/>
                <w:sz w:val="20"/>
                <w:szCs w:val="20"/>
                <w:lang w:eastAsia="es-GT"/>
              </w:rPr>
              <w:t xml:space="preserve"> Protegidas (CONAP)</w:t>
            </w:r>
          </w:p>
        </w:tc>
      </w:tr>
      <w:tr w:rsidR="00207262" w:rsidRPr="003D4713" w14:paraId="3EF981C8" w14:textId="77777777" w:rsidTr="005113F8">
        <w:trPr>
          <w:trHeight w:val="300"/>
        </w:trPr>
        <w:tc>
          <w:tcPr>
            <w:tcW w:w="567" w:type="dxa"/>
            <w:shd w:val="clear" w:color="000000" w:fill="FFFFFF"/>
            <w:noWrap/>
            <w:vAlign w:val="bottom"/>
            <w:hideMark/>
          </w:tcPr>
          <w:p w14:paraId="7B786C41"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40</w:t>
            </w:r>
          </w:p>
        </w:tc>
        <w:tc>
          <w:tcPr>
            <w:tcW w:w="8261" w:type="dxa"/>
            <w:shd w:val="clear" w:color="000000" w:fill="FFFFFF"/>
            <w:noWrap/>
            <w:vAlign w:val="bottom"/>
            <w:hideMark/>
          </w:tcPr>
          <w:p w14:paraId="55DDF47F"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Consejo Nacional de la Juventud (CONJUVE)</w:t>
            </w:r>
          </w:p>
        </w:tc>
      </w:tr>
      <w:tr w:rsidR="00207262" w:rsidRPr="003D4713" w14:paraId="6E149E20" w14:textId="77777777" w:rsidTr="005113F8">
        <w:trPr>
          <w:trHeight w:val="300"/>
        </w:trPr>
        <w:tc>
          <w:tcPr>
            <w:tcW w:w="567" w:type="dxa"/>
            <w:shd w:val="clear" w:color="000000" w:fill="FFFFFF"/>
            <w:noWrap/>
            <w:vAlign w:val="bottom"/>
            <w:hideMark/>
          </w:tcPr>
          <w:p w14:paraId="04F4A0BD"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41</w:t>
            </w:r>
          </w:p>
        </w:tc>
        <w:tc>
          <w:tcPr>
            <w:tcW w:w="8261" w:type="dxa"/>
            <w:shd w:val="clear" w:color="000000" w:fill="FFFFFF"/>
            <w:vAlign w:val="bottom"/>
            <w:hideMark/>
          </w:tcPr>
          <w:p w14:paraId="37C72649" w14:textId="7D54CB2D"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 xml:space="preserve">Consejo Nacional para </w:t>
            </w:r>
            <w:r w:rsidR="00207262" w:rsidRPr="003D4713">
              <w:rPr>
                <w:rFonts w:ascii="Arial" w:eastAsia="Times New Roman" w:hAnsi="Arial" w:cs="Arial"/>
                <w:color w:val="000000"/>
                <w:sz w:val="20"/>
                <w:szCs w:val="20"/>
                <w:lang w:eastAsia="es-GT"/>
              </w:rPr>
              <w:t>Protección</w:t>
            </w:r>
            <w:r w:rsidRPr="003D4713">
              <w:rPr>
                <w:rFonts w:ascii="Arial" w:eastAsia="Times New Roman" w:hAnsi="Arial" w:cs="Arial"/>
                <w:color w:val="000000"/>
                <w:sz w:val="20"/>
                <w:szCs w:val="20"/>
                <w:lang w:eastAsia="es-GT"/>
              </w:rPr>
              <w:t xml:space="preserve"> de personas con Discapacidad (</w:t>
            </w:r>
            <w:proofErr w:type="spellStart"/>
            <w:r w:rsidRPr="003D4713">
              <w:rPr>
                <w:rFonts w:ascii="Arial" w:eastAsia="Times New Roman" w:hAnsi="Arial" w:cs="Arial"/>
                <w:color w:val="000000"/>
                <w:sz w:val="20"/>
                <w:szCs w:val="20"/>
                <w:lang w:eastAsia="es-GT"/>
              </w:rPr>
              <w:t>Conadi</w:t>
            </w:r>
            <w:proofErr w:type="spellEnd"/>
            <w:r w:rsidRPr="003D4713">
              <w:rPr>
                <w:rFonts w:ascii="Arial" w:eastAsia="Times New Roman" w:hAnsi="Arial" w:cs="Arial"/>
                <w:color w:val="000000"/>
                <w:sz w:val="20"/>
                <w:szCs w:val="20"/>
                <w:lang w:eastAsia="es-GT"/>
              </w:rPr>
              <w:t>)</w:t>
            </w:r>
          </w:p>
        </w:tc>
      </w:tr>
      <w:tr w:rsidR="00207262" w:rsidRPr="003D4713" w14:paraId="756714E1" w14:textId="77777777" w:rsidTr="005113F8">
        <w:trPr>
          <w:trHeight w:val="300"/>
        </w:trPr>
        <w:tc>
          <w:tcPr>
            <w:tcW w:w="567" w:type="dxa"/>
            <w:shd w:val="clear" w:color="000000" w:fill="FFFFFF"/>
            <w:noWrap/>
            <w:vAlign w:val="bottom"/>
            <w:hideMark/>
          </w:tcPr>
          <w:p w14:paraId="28032923"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42</w:t>
            </w:r>
          </w:p>
        </w:tc>
        <w:tc>
          <w:tcPr>
            <w:tcW w:w="8261" w:type="dxa"/>
            <w:shd w:val="clear" w:color="000000" w:fill="FFFFFF"/>
            <w:vAlign w:val="center"/>
            <w:hideMark/>
          </w:tcPr>
          <w:p w14:paraId="1C4DF2C4" w14:textId="03146072" w:rsidR="003D4713" w:rsidRPr="003D4713" w:rsidRDefault="00207262" w:rsidP="003D4713">
            <w:pPr>
              <w:spacing w:after="0" w:line="240" w:lineRule="auto"/>
              <w:jc w:val="both"/>
              <w:rPr>
                <w:rFonts w:ascii="Arial" w:eastAsia="Times New Roman" w:hAnsi="Arial" w:cs="Arial"/>
                <w:sz w:val="20"/>
                <w:szCs w:val="20"/>
                <w:lang w:eastAsia="es-GT"/>
              </w:rPr>
            </w:pPr>
            <w:r w:rsidRPr="003D4713">
              <w:rPr>
                <w:rFonts w:ascii="Arial" w:eastAsia="Times New Roman" w:hAnsi="Arial" w:cs="Arial"/>
                <w:sz w:val="20"/>
                <w:szCs w:val="20"/>
                <w:lang w:eastAsia="es-GT"/>
              </w:rPr>
              <w:t>Contraloría</w:t>
            </w:r>
            <w:r w:rsidR="003D4713" w:rsidRPr="003D4713">
              <w:rPr>
                <w:rFonts w:ascii="Arial" w:eastAsia="Times New Roman" w:hAnsi="Arial" w:cs="Arial"/>
                <w:sz w:val="20"/>
                <w:szCs w:val="20"/>
                <w:lang w:eastAsia="es-GT"/>
              </w:rPr>
              <w:t xml:space="preserve"> General de Cuentas (CGC)</w:t>
            </w:r>
          </w:p>
        </w:tc>
      </w:tr>
      <w:tr w:rsidR="00207262" w:rsidRPr="003D4713" w14:paraId="2B4E2C5D" w14:textId="77777777" w:rsidTr="005113F8">
        <w:trPr>
          <w:trHeight w:val="300"/>
        </w:trPr>
        <w:tc>
          <w:tcPr>
            <w:tcW w:w="567" w:type="dxa"/>
            <w:shd w:val="clear" w:color="000000" w:fill="FFFFFF"/>
            <w:noWrap/>
            <w:vAlign w:val="bottom"/>
            <w:hideMark/>
          </w:tcPr>
          <w:p w14:paraId="0E98E71D"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43</w:t>
            </w:r>
          </w:p>
        </w:tc>
        <w:tc>
          <w:tcPr>
            <w:tcW w:w="8261" w:type="dxa"/>
            <w:shd w:val="clear" w:color="000000" w:fill="FFFFFF"/>
            <w:noWrap/>
            <w:vAlign w:val="bottom"/>
            <w:hideMark/>
          </w:tcPr>
          <w:p w14:paraId="1AE70241"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Corte de Constitucionalidad (CC)</w:t>
            </w:r>
          </w:p>
        </w:tc>
      </w:tr>
      <w:tr w:rsidR="00207262" w:rsidRPr="003D4713" w14:paraId="10645EA6" w14:textId="77777777" w:rsidTr="005113F8">
        <w:trPr>
          <w:trHeight w:val="300"/>
        </w:trPr>
        <w:tc>
          <w:tcPr>
            <w:tcW w:w="567" w:type="dxa"/>
            <w:shd w:val="clear" w:color="000000" w:fill="FFFFFF"/>
            <w:noWrap/>
            <w:vAlign w:val="bottom"/>
            <w:hideMark/>
          </w:tcPr>
          <w:p w14:paraId="7108C0D3"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44</w:t>
            </w:r>
          </w:p>
        </w:tc>
        <w:tc>
          <w:tcPr>
            <w:tcW w:w="8261" w:type="dxa"/>
            <w:shd w:val="clear" w:color="000000" w:fill="FFFFFF"/>
            <w:noWrap/>
            <w:vAlign w:val="bottom"/>
            <w:hideMark/>
          </w:tcPr>
          <w:p w14:paraId="77DA6512" w14:textId="779B5879"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 xml:space="preserve">Defensoría de la Mujer </w:t>
            </w:r>
            <w:r w:rsidR="00207262" w:rsidRPr="003D4713">
              <w:rPr>
                <w:rFonts w:ascii="Arial" w:eastAsia="Times New Roman" w:hAnsi="Arial" w:cs="Arial"/>
                <w:color w:val="000000"/>
                <w:sz w:val="20"/>
                <w:szCs w:val="20"/>
                <w:lang w:eastAsia="es-GT"/>
              </w:rPr>
              <w:t>Indígena</w:t>
            </w:r>
            <w:r w:rsidRPr="003D4713">
              <w:rPr>
                <w:rFonts w:ascii="Arial" w:eastAsia="Times New Roman" w:hAnsi="Arial" w:cs="Arial"/>
                <w:color w:val="000000"/>
                <w:sz w:val="20"/>
                <w:szCs w:val="20"/>
                <w:lang w:eastAsia="es-GT"/>
              </w:rPr>
              <w:t xml:space="preserve"> (DEMI)</w:t>
            </w:r>
          </w:p>
        </w:tc>
      </w:tr>
      <w:tr w:rsidR="00207262" w:rsidRPr="003D4713" w14:paraId="41AABA90" w14:textId="77777777" w:rsidTr="005113F8">
        <w:trPr>
          <w:trHeight w:val="300"/>
        </w:trPr>
        <w:tc>
          <w:tcPr>
            <w:tcW w:w="567" w:type="dxa"/>
            <w:shd w:val="clear" w:color="000000" w:fill="FFFFFF"/>
            <w:noWrap/>
            <w:vAlign w:val="bottom"/>
            <w:hideMark/>
          </w:tcPr>
          <w:p w14:paraId="758FCA90"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45</w:t>
            </w:r>
          </w:p>
        </w:tc>
        <w:tc>
          <w:tcPr>
            <w:tcW w:w="8261" w:type="dxa"/>
            <w:shd w:val="clear" w:color="000000" w:fill="FFFFFF"/>
            <w:noWrap/>
            <w:vAlign w:val="bottom"/>
            <w:hideMark/>
          </w:tcPr>
          <w:p w14:paraId="285AE25C"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Fondo de Desarrollo Indígena Guatemalteco (FODIGUA)</w:t>
            </w:r>
          </w:p>
        </w:tc>
      </w:tr>
      <w:tr w:rsidR="00207262" w:rsidRPr="003D4713" w14:paraId="2DDCFE9C" w14:textId="77777777" w:rsidTr="005113F8">
        <w:trPr>
          <w:trHeight w:val="300"/>
        </w:trPr>
        <w:tc>
          <w:tcPr>
            <w:tcW w:w="567" w:type="dxa"/>
            <w:shd w:val="clear" w:color="000000" w:fill="FFFFFF"/>
            <w:noWrap/>
            <w:vAlign w:val="bottom"/>
            <w:hideMark/>
          </w:tcPr>
          <w:p w14:paraId="4DC409AB"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46</w:t>
            </w:r>
          </w:p>
        </w:tc>
        <w:tc>
          <w:tcPr>
            <w:tcW w:w="8261" w:type="dxa"/>
            <w:shd w:val="clear" w:color="000000" w:fill="FFFFFF"/>
            <w:noWrap/>
            <w:vAlign w:val="bottom"/>
            <w:hideMark/>
          </w:tcPr>
          <w:p w14:paraId="74B3B96A" w14:textId="5ADA2A51" w:rsidR="003D4713" w:rsidRPr="003D4713" w:rsidRDefault="003D4713" w:rsidP="003D4713">
            <w:pPr>
              <w:spacing w:after="0" w:line="240" w:lineRule="auto"/>
              <w:jc w:val="both"/>
              <w:rPr>
                <w:rFonts w:ascii="Arial" w:eastAsia="Times New Roman" w:hAnsi="Arial" w:cs="Arial"/>
                <w:sz w:val="20"/>
                <w:szCs w:val="20"/>
                <w:lang w:eastAsia="es-GT"/>
              </w:rPr>
            </w:pPr>
            <w:r w:rsidRPr="003D4713">
              <w:rPr>
                <w:rFonts w:ascii="Arial" w:eastAsia="Times New Roman" w:hAnsi="Arial" w:cs="Arial"/>
                <w:sz w:val="20"/>
                <w:szCs w:val="20"/>
                <w:lang w:eastAsia="es-GT"/>
              </w:rPr>
              <w:t>Fondo de Tierras (</w:t>
            </w:r>
            <w:r w:rsidR="00374A0B" w:rsidRPr="003D4713">
              <w:rPr>
                <w:rFonts w:ascii="Arial" w:eastAsia="Times New Roman" w:hAnsi="Arial" w:cs="Arial"/>
                <w:sz w:val="20"/>
                <w:szCs w:val="20"/>
                <w:lang w:eastAsia="es-GT"/>
              </w:rPr>
              <w:t>FONTIERRAS</w:t>
            </w:r>
            <w:r w:rsidRPr="003D4713">
              <w:rPr>
                <w:rFonts w:ascii="Arial" w:eastAsia="Times New Roman" w:hAnsi="Arial" w:cs="Arial"/>
                <w:sz w:val="20"/>
                <w:szCs w:val="20"/>
                <w:lang w:eastAsia="es-GT"/>
              </w:rPr>
              <w:t>)</w:t>
            </w:r>
          </w:p>
        </w:tc>
      </w:tr>
      <w:tr w:rsidR="00207262" w:rsidRPr="003D4713" w14:paraId="3829EE3B" w14:textId="77777777" w:rsidTr="005113F8">
        <w:trPr>
          <w:trHeight w:val="300"/>
        </w:trPr>
        <w:tc>
          <w:tcPr>
            <w:tcW w:w="567" w:type="dxa"/>
            <w:shd w:val="clear" w:color="000000" w:fill="FFFFFF"/>
            <w:noWrap/>
            <w:vAlign w:val="bottom"/>
            <w:hideMark/>
          </w:tcPr>
          <w:p w14:paraId="12207E1E"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47</w:t>
            </w:r>
          </w:p>
        </w:tc>
        <w:tc>
          <w:tcPr>
            <w:tcW w:w="8261" w:type="dxa"/>
            <w:shd w:val="clear" w:color="000000" w:fill="FFFFFF"/>
            <w:noWrap/>
            <w:vAlign w:val="bottom"/>
            <w:hideMark/>
          </w:tcPr>
          <w:p w14:paraId="0392F767" w14:textId="64EC0689" w:rsidR="003D4713" w:rsidRPr="003D4713" w:rsidRDefault="003D4713" w:rsidP="003D4713">
            <w:pPr>
              <w:spacing w:after="0" w:line="240" w:lineRule="auto"/>
              <w:jc w:val="both"/>
              <w:rPr>
                <w:rFonts w:ascii="Arial" w:eastAsia="Times New Roman" w:hAnsi="Arial" w:cs="Arial"/>
                <w:sz w:val="20"/>
                <w:szCs w:val="20"/>
                <w:lang w:eastAsia="es-GT"/>
              </w:rPr>
            </w:pPr>
            <w:r w:rsidRPr="003D4713">
              <w:rPr>
                <w:rFonts w:ascii="Arial" w:eastAsia="Times New Roman" w:hAnsi="Arial" w:cs="Arial"/>
                <w:sz w:val="20"/>
                <w:szCs w:val="20"/>
                <w:lang w:eastAsia="es-GT"/>
              </w:rPr>
              <w:t>Inspeccione General de Cooperativas (</w:t>
            </w:r>
            <w:r w:rsidR="00374A0B" w:rsidRPr="003D4713">
              <w:rPr>
                <w:rFonts w:ascii="Arial" w:eastAsia="Times New Roman" w:hAnsi="Arial" w:cs="Arial"/>
                <w:sz w:val="20"/>
                <w:szCs w:val="20"/>
                <w:lang w:eastAsia="es-GT"/>
              </w:rPr>
              <w:t>INGECOP</w:t>
            </w:r>
            <w:r w:rsidRPr="003D4713">
              <w:rPr>
                <w:rFonts w:ascii="Arial" w:eastAsia="Times New Roman" w:hAnsi="Arial" w:cs="Arial"/>
                <w:sz w:val="20"/>
                <w:szCs w:val="20"/>
                <w:lang w:eastAsia="es-GT"/>
              </w:rPr>
              <w:t>)</w:t>
            </w:r>
          </w:p>
        </w:tc>
      </w:tr>
      <w:tr w:rsidR="00207262" w:rsidRPr="003D4713" w14:paraId="1314C547" w14:textId="77777777" w:rsidTr="005113F8">
        <w:trPr>
          <w:trHeight w:val="300"/>
        </w:trPr>
        <w:tc>
          <w:tcPr>
            <w:tcW w:w="567" w:type="dxa"/>
            <w:shd w:val="clear" w:color="000000" w:fill="FFFFFF"/>
            <w:noWrap/>
            <w:vAlign w:val="bottom"/>
            <w:hideMark/>
          </w:tcPr>
          <w:p w14:paraId="3BA50FAC"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48</w:t>
            </w:r>
          </w:p>
        </w:tc>
        <w:tc>
          <w:tcPr>
            <w:tcW w:w="8261" w:type="dxa"/>
            <w:shd w:val="clear" w:color="000000" w:fill="FFFFFF"/>
            <w:noWrap/>
            <w:vAlign w:val="bottom"/>
            <w:hideMark/>
          </w:tcPr>
          <w:p w14:paraId="465702D7" w14:textId="77777777" w:rsidR="003D4713" w:rsidRPr="003D4713" w:rsidRDefault="003D4713" w:rsidP="003D4713">
            <w:pPr>
              <w:spacing w:after="0" w:line="240" w:lineRule="auto"/>
              <w:jc w:val="both"/>
              <w:rPr>
                <w:rFonts w:ascii="Arial" w:eastAsia="Times New Roman" w:hAnsi="Arial" w:cs="Arial"/>
                <w:sz w:val="20"/>
                <w:szCs w:val="20"/>
                <w:lang w:eastAsia="es-GT"/>
              </w:rPr>
            </w:pPr>
            <w:r w:rsidRPr="003D4713">
              <w:rPr>
                <w:rFonts w:ascii="Arial" w:eastAsia="Times New Roman" w:hAnsi="Arial" w:cs="Arial"/>
                <w:sz w:val="20"/>
                <w:szCs w:val="20"/>
                <w:lang w:eastAsia="es-GT"/>
              </w:rPr>
              <w:t>Instituto de Fomento Municipal (INFOM)</w:t>
            </w:r>
          </w:p>
        </w:tc>
      </w:tr>
      <w:tr w:rsidR="00207262" w:rsidRPr="003D4713" w14:paraId="3FD86548" w14:textId="77777777" w:rsidTr="005113F8">
        <w:trPr>
          <w:trHeight w:val="300"/>
        </w:trPr>
        <w:tc>
          <w:tcPr>
            <w:tcW w:w="567" w:type="dxa"/>
            <w:shd w:val="clear" w:color="000000" w:fill="FFFFFF"/>
            <w:noWrap/>
            <w:vAlign w:val="bottom"/>
            <w:hideMark/>
          </w:tcPr>
          <w:p w14:paraId="1EE10019"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49</w:t>
            </w:r>
          </w:p>
        </w:tc>
        <w:tc>
          <w:tcPr>
            <w:tcW w:w="8261" w:type="dxa"/>
            <w:shd w:val="clear" w:color="000000" w:fill="FFFFFF"/>
            <w:noWrap/>
            <w:vAlign w:val="bottom"/>
            <w:hideMark/>
          </w:tcPr>
          <w:p w14:paraId="38CD879D"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Instituto de la Defensa Público Penal (IDPP)</w:t>
            </w:r>
          </w:p>
        </w:tc>
      </w:tr>
      <w:tr w:rsidR="00207262" w:rsidRPr="003D4713" w14:paraId="7112C534" w14:textId="77777777" w:rsidTr="005113F8">
        <w:trPr>
          <w:trHeight w:val="300"/>
        </w:trPr>
        <w:tc>
          <w:tcPr>
            <w:tcW w:w="567" w:type="dxa"/>
            <w:shd w:val="clear" w:color="000000" w:fill="FFFFFF"/>
            <w:noWrap/>
            <w:vAlign w:val="bottom"/>
            <w:hideMark/>
          </w:tcPr>
          <w:p w14:paraId="6BB24D6D"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50</w:t>
            </w:r>
          </w:p>
        </w:tc>
        <w:tc>
          <w:tcPr>
            <w:tcW w:w="8261" w:type="dxa"/>
            <w:shd w:val="clear" w:color="000000" w:fill="FFFFFF"/>
            <w:noWrap/>
            <w:vAlign w:val="bottom"/>
            <w:hideMark/>
          </w:tcPr>
          <w:p w14:paraId="3251395F" w14:textId="77777777" w:rsidR="003D4713" w:rsidRPr="003D4713" w:rsidRDefault="003D4713" w:rsidP="003D4713">
            <w:pPr>
              <w:spacing w:after="0" w:line="240" w:lineRule="auto"/>
              <w:jc w:val="both"/>
              <w:rPr>
                <w:rFonts w:ascii="Arial" w:eastAsia="Times New Roman" w:hAnsi="Arial" w:cs="Arial"/>
                <w:sz w:val="20"/>
                <w:szCs w:val="20"/>
                <w:lang w:eastAsia="es-GT"/>
              </w:rPr>
            </w:pPr>
            <w:r w:rsidRPr="003D4713">
              <w:rPr>
                <w:rFonts w:ascii="Arial" w:eastAsia="Times New Roman" w:hAnsi="Arial" w:cs="Arial"/>
                <w:sz w:val="20"/>
                <w:szCs w:val="20"/>
                <w:lang w:eastAsia="es-GT"/>
              </w:rPr>
              <w:t>Instituto de Previsión Militar (IPM)</w:t>
            </w:r>
          </w:p>
        </w:tc>
      </w:tr>
      <w:tr w:rsidR="00207262" w:rsidRPr="003D4713" w14:paraId="7F25D3CD" w14:textId="77777777" w:rsidTr="005113F8">
        <w:trPr>
          <w:trHeight w:val="300"/>
        </w:trPr>
        <w:tc>
          <w:tcPr>
            <w:tcW w:w="567" w:type="dxa"/>
            <w:shd w:val="clear" w:color="000000" w:fill="FFFFFF"/>
            <w:noWrap/>
            <w:vAlign w:val="bottom"/>
            <w:hideMark/>
          </w:tcPr>
          <w:p w14:paraId="782457F8"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51</w:t>
            </w:r>
          </w:p>
        </w:tc>
        <w:tc>
          <w:tcPr>
            <w:tcW w:w="8261" w:type="dxa"/>
            <w:shd w:val="clear" w:color="000000" w:fill="FFFFFF"/>
            <w:noWrap/>
            <w:vAlign w:val="bottom"/>
            <w:hideMark/>
          </w:tcPr>
          <w:p w14:paraId="254FBD81"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Instituto Guatemalteco de Seguridad Social (IGSS)</w:t>
            </w:r>
          </w:p>
        </w:tc>
      </w:tr>
      <w:tr w:rsidR="00207262" w:rsidRPr="003D4713" w14:paraId="70508750" w14:textId="77777777" w:rsidTr="005113F8">
        <w:trPr>
          <w:trHeight w:val="300"/>
        </w:trPr>
        <w:tc>
          <w:tcPr>
            <w:tcW w:w="567" w:type="dxa"/>
            <w:shd w:val="clear" w:color="000000" w:fill="FFFFFF"/>
            <w:noWrap/>
            <w:vAlign w:val="bottom"/>
            <w:hideMark/>
          </w:tcPr>
          <w:p w14:paraId="693B6CC9"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52</w:t>
            </w:r>
          </w:p>
        </w:tc>
        <w:tc>
          <w:tcPr>
            <w:tcW w:w="8261" w:type="dxa"/>
            <w:shd w:val="clear" w:color="000000" w:fill="FFFFFF"/>
            <w:noWrap/>
            <w:vAlign w:val="bottom"/>
            <w:hideMark/>
          </w:tcPr>
          <w:p w14:paraId="27C94B0A" w14:textId="67E9A5F9" w:rsidR="003D4713" w:rsidRPr="003D4713" w:rsidRDefault="003D4713" w:rsidP="003D4713">
            <w:pPr>
              <w:spacing w:after="0" w:line="240" w:lineRule="auto"/>
              <w:jc w:val="both"/>
              <w:rPr>
                <w:rFonts w:ascii="Arial" w:eastAsia="Times New Roman" w:hAnsi="Arial" w:cs="Arial"/>
                <w:sz w:val="20"/>
                <w:szCs w:val="20"/>
                <w:lang w:eastAsia="es-GT"/>
              </w:rPr>
            </w:pPr>
            <w:r w:rsidRPr="003D4713">
              <w:rPr>
                <w:rFonts w:ascii="Arial" w:eastAsia="Times New Roman" w:hAnsi="Arial" w:cs="Arial"/>
                <w:sz w:val="20"/>
                <w:szCs w:val="20"/>
                <w:lang w:eastAsia="es-GT"/>
              </w:rPr>
              <w:t xml:space="preserve">Instituto Guatemalteco de Turismo </w:t>
            </w:r>
            <w:r w:rsidR="00374A0B" w:rsidRPr="003D4713">
              <w:rPr>
                <w:rFonts w:ascii="Arial" w:eastAsia="Times New Roman" w:hAnsi="Arial" w:cs="Arial"/>
                <w:sz w:val="20"/>
                <w:szCs w:val="20"/>
                <w:lang w:eastAsia="es-GT"/>
              </w:rPr>
              <w:t>(INGUAT</w:t>
            </w:r>
            <w:r w:rsidRPr="003D4713">
              <w:rPr>
                <w:rFonts w:ascii="Arial" w:eastAsia="Times New Roman" w:hAnsi="Arial" w:cs="Arial"/>
                <w:sz w:val="20"/>
                <w:szCs w:val="20"/>
                <w:lang w:eastAsia="es-GT"/>
              </w:rPr>
              <w:t>)</w:t>
            </w:r>
          </w:p>
        </w:tc>
      </w:tr>
      <w:tr w:rsidR="00207262" w:rsidRPr="003D4713" w14:paraId="6358DF66" w14:textId="77777777" w:rsidTr="005113F8">
        <w:trPr>
          <w:trHeight w:val="300"/>
        </w:trPr>
        <w:tc>
          <w:tcPr>
            <w:tcW w:w="567" w:type="dxa"/>
            <w:shd w:val="clear" w:color="000000" w:fill="FFFFFF"/>
            <w:noWrap/>
            <w:vAlign w:val="bottom"/>
            <w:hideMark/>
          </w:tcPr>
          <w:p w14:paraId="5C63E93E"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53</w:t>
            </w:r>
          </w:p>
        </w:tc>
        <w:tc>
          <w:tcPr>
            <w:tcW w:w="8261" w:type="dxa"/>
            <w:shd w:val="clear" w:color="000000" w:fill="FFFFFF"/>
            <w:noWrap/>
            <w:vAlign w:val="bottom"/>
            <w:hideMark/>
          </w:tcPr>
          <w:p w14:paraId="7FF7DFFD" w14:textId="77777777" w:rsidR="003D4713" w:rsidRPr="003D4713" w:rsidRDefault="003D4713" w:rsidP="003D4713">
            <w:pPr>
              <w:spacing w:after="0" w:line="240" w:lineRule="auto"/>
              <w:jc w:val="both"/>
              <w:rPr>
                <w:rFonts w:ascii="Arial" w:eastAsia="Times New Roman" w:hAnsi="Arial" w:cs="Arial"/>
                <w:sz w:val="20"/>
                <w:szCs w:val="20"/>
                <w:lang w:eastAsia="es-GT"/>
              </w:rPr>
            </w:pPr>
            <w:r w:rsidRPr="003D4713">
              <w:rPr>
                <w:rFonts w:ascii="Arial" w:eastAsia="Times New Roman" w:hAnsi="Arial" w:cs="Arial"/>
                <w:sz w:val="20"/>
                <w:szCs w:val="20"/>
                <w:lang w:eastAsia="es-GT"/>
              </w:rPr>
              <w:t>Instituto Nacional de Administración Pública (INAP)</w:t>
            </w:r>
          </w:p>
        </w:tc>
      </w:tr>
      <w:tr w:rsidR="00207262" w:rsidRPr="003D4713" w14:paraId="2F823010" w14:textId="77777777" w:rsidTr="005113F8">
        <w:trPr>
          <w:trHeight w:val="300"/>
        </w:trPr>
        <w:tc>
          <w:tcPr>
            <w:tcW w:w="567" w:type="dxa"/>
            <w:shd w:val="clear" w:color="000000" w:fill="FFFFFF"/>
            <w:noWrap/>
            <w:vAlign w:val="bottom"/>
            <w:hideMark/>
          </w:tcPr>
          <w:p w14:paraId="637F3ADF"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54</w:t>
            </w:r>
          </w:p>
        </w:tc>
        <w:tc>
          <w:tcPr>
            <w:tcW w:w="8261" w:type="dxa"/>
            <w:shd w:val="clear" w:color="000000" w:fill="FFFFFF"/>
            <w:noWrap/>
            <w:vAlign w:val="bottom"/>
            <w:hideMark/>
          </w:tcPr>
          <w:p w14:paraId="23026FA7" w14:textId="77777777" w:rsidR="003D4713" w:rsidRPr="003D4713" w:rsidRDefault="003D4713" w:rsidP="003D4713">
            <w:pPr>
              <w:spacing w:after="0" w:line="240" w:lineRule="auto"/>
              <w:jc w:val="both"/>
              <w:rPr>
                <w:rFonts w:ascii="Arial" w:eastAsia="Times New Roman" w:hAnsi="Arial" w:cs="Arial"/>
                <w:sz w:val="20"/>
                <w:szCs w:val="20"/>
                <w:lang w:eastAsia="es-GT"/>
              </w:rPr>
            </w:pPr>
            <w:r w:rsidRPr="003D4713">
              <w:rPr>
                <w:rFonts w:ascii="Arial" w:eastAsia="Times New Roman" w:hAnsi="Arial" w:cs="Arial"/>
                <w:sz w:val="20"/>
                <w:szCs w:val="20"/>
                <w:lang w:eastAsia="es-GT"/>
              </w:rPr>
              <w:t>Instituto Nacional de Bosques (INAB)</w:t>
            </w:r>
          </w:p>
        </w:tc>
      </w:tr>
      <w:tr w:rsidR="00207262" w:rsidRPr="003D4713" w14:paraId="706563CF" w14:textId="77777777" w:rsidTr="005113F8">
        <w:trPr>
          <w:trHeight w:val="300"/>
        </w:trPr>
        <w:tc>
          <w:tcPr>
            <w:tcW w:w="567" w:type="dxa"/>
            <w:shd w:val="clear" w:color="000000" w:fill="FFFFFF"/>
            <w:noWrap/>
            <w:vAlign w:val="bottom"/>
            <w:hideMark/>
          </w:tcPr>
          <w:p w14:paraId="307A99D9"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55</w:t>
            </w:r>
          </w:p>
        </w:tc>
        <w:tc>
          <w:tcPr>
            <w:tcW w:w="8261" w:type="dxa"/>
            <w:shd w:val="clear" w:color="000000" w:fill="FFFFFF"/>
            <w:noWrap/>
            <w:vAlign w:val="bottom"/>
            <w:hideMark/>
          </w:tcPr>
          <w:p w14:paraId="6A6CF0F9" w14:textId="4A6D2B5C"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 xml:space="preserve">Instituto Nacional de Ciencias </w:t>
            </w:r>
            <w:r w:rsidR="00207262" w:rsidRPr="003D4713">
              <w:rPr>
                <w:rFonts w:ascii="Arial" w:eastAsia="Times New Roman" w:hAnsi="Arial" w:cs="Arial"/>
                <w:color w:val="000000"/>
                <w:sz w:val="20"/>
                <w:szCs w:val="20"/>
                <w:lang w:eastAsia="es-GT"/>
              </w:rPr>
              <w:t>Forenses</w:t>
            </w:r>
            <w:r w:rsidRPr="003D4713">
              <w:rPr>
                <w:rFonts w:ascii="Arial" w:eastAsia="Times New Roman" w:hAnsi="Arial" w:cs="Arial"/>
                <w:color w:val="000000"/>
                <w:sz w:val="20"/>
                <w:szCs w:val="20"/>
                <w:lang w:eastAsia="es-GT"/>
              </w:rPr>
              <w:t xml:space="preserve"> (INACIF)</w:t>
            </w:r>
          </w:p>
        </w:tc>
      </w:tr>
      <w:tr w:rsidR="00207262" w:rsidRPr="003D4713" w14:paraId="563608C8" w14:textId="77777777" w:rsidTr="005113F8">
        <w:trPr>
          <w:trHeight w:val="300"/>
        </w:trPr>
        <w:tc>
          <w:tcPr>
            <w:tcW w:w="567" w:type="dxa"/>
            <w:shd w:val="clear" w:color="000000" w:fill="FFFFFF"/>
            <w:noWrap/>
            <w:vAlign w:val="bottom"/>
            <w:hideMark/>
          </w:tcPr>
          <w:p w14:paraId="7CB2F6DA"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56</w:t>
            </w:r>
          </w:p>
        </w:tc>
        <w:tc>
          <w:tcPr>
            <w:tcW w:w="8261" w:type="dxa"/>
            <w:shd w:val="clear" w:color="000000" w:fill="FFFFFF"/>
            <w:noWrap/>
            <w:vAlign w:val="bottom"/>
            <w:hideMark/>
          </w:tcPr>
          <w:p w14:paraId="78B516BB" w14:textId="77777777" w:rsidR="003D4713" w:rsidRPr="003D4713" w:rsidRDefault="003D4713" w:rsidP="003D4713">
            <w:pPr>
              <w:spacing w:after="0" w:line="240" w:lineRule="auto"/>
              <w:jc w:val="both"/>
              <w:rPr>
                <w:rFonts w:ascii="Arial" w:eastAsia="Times New Roman" w:hAnsi="Arial" w:cs="Arial"/>
                <w:sz w:val="20"/>
                <w:szCs w:val="20"/>
                <w:lang w:eastAsia="es-GT"/>
              </w:rPr>
            </w:pPr>
            <w:r w:rsidRPr="003D4713">
              <w:rPr>
                <w:rFonts w:ascii="Arial" w:eastAsia="Times New Roman" w:hAnsi="Arial" w:cs="Arial"/>
                <w:sz w:val="20"/>
                <w:szCs w:val="20"/>
                <w:lang w:eastAsia="es-GT"/>
              </w:rPr>
              <w:t>Instituto Nacional de Cooperativas (INACOP)</w:t>
            </w:r>
          </w:p>
        </w:tc>
      </w:tr>
      <w:tr w:rsidR="00207262" w:rsidRPr="003D4713" w14:paraId="00117EC0" w14:textId="77777777" w:rsidTr="005113F8">
        <w:trPr>
          <w:trHeight w:val="300"/>
        </w:trPr>
        <w:tc>
          <w:tcPr>
            <w:tcW w:w="567" w:type="dxa"/>
            <w:shd w:val="clear" w:color="000000" w:fill="FFFFFF"/>
            <w:noWrap/>
            <w:vAlign w:val="bottom"/>
            <w:hideMark/>
          </w:tcPr>
          <w:p w14:paraId="71FBBC71"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57</w:t>
            </w:r>
          </w:p>
        </w:tc>
        <w:tc>
          <w:tcPr>
            <w:tcW w:w="8261" w:type="dxa"/>
            <w:shd w:val="clear" w:color="000000" w:fill="FFFFFF"/>
            <w:noWrap/>
            <w:vAlign w:val="bottom"/>
            <w:hideMark/>
          </w:tcPr>
          <w:p w14:paraId="61792872" w14:textId="77777777" w:rsidR="003D4713" w:rsidRPr="003D4713" w:rsidRDefault="003D4713" w:rsidP="003D4713">
            <w:pPr>
              <w:spacing w:after="0" w:line="240" w:lineRule="auto"/>
              <w:jc w:val="both"/>
              <w:rPr>
                <w:rFonts w:ascii="Arial" w:eastAsia="Times New Roman" w:hAnsi="Arial" w:cs="Arial"/>
                <w:sz w:val="20"/>
                <w:szCs w:val="20"/>
                <w:lang w:eastAsia="es-GT"/>
              </w:rPr>
            </w:pPr>
            <w:r w:rsidRPr="003D4713">
              <w:rPr>
                <w:rFonts w:ascii="Arial" w:eastAsia="Times New Roman" w:hAnsi="Arial" w:cs="Arial"/>
                <w:sz w:val="20"/>
                <w:szCs w:val="20"/>
                <w:lang w:eastAsia="es-GT"/>
              </w:rPr>
              <w:t>Instituto Nacional de Estadística (INE)</w:t>
            </w:r>
          </w:p>
        </w:tc>
      </w:tr>
      <w:tr w:rsidR="00207262" w:rsidRPr="003D4713" w14:paraId="1C11B9C9" w14:textId="77777777" w:rsidTr="005113F8">
        <w:trPr>
          <w:trHeight w:val="300"/>
        </w:trPr>
        <w:tc>
          <w:tcPr>
            <w:tcW w:w="567" w:type="dxa"/>
            <w:shd w:val="clear" w:color="000000" w:fill="FFFFFF"/>
            <w:noWrap/>
            <w:vAlign w:val="bottom"/>
            <w:hideMark/>
          </w:tcPr>
          <w:p w14:paraId="3A383D5A"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58</w:t>
            </w:r>
          </w:p>
        </w:tc>
        <w:tc>
          <w:tcPr>
            <w:tcW w:w="8261" w:type="dxa"/>
            <w:shd w:val="clear" w:color="000000" w:fill="FFFFFF"/>
            <w:noWrap/>
            <w:vAlign w:val="bottom"/>
            <w:hideMark/>
          </w:tcPr>
          <w:p w14:paraId="1A9688FB" w14:textId="77777777" w:rsidR="003D4713" w:rsidRPr="003D4713" w:rsidRDefault="003D4713" w:rsidP="003D4713">
            <w:pPr>
              <w:spacing w:after="0" w:line="240" w:lineRule="auto"/>
              <w:jc w:val="both"/>
              <w:rPr>
                <w:rFonts w:ascii="Arial" w:eastAsia="Times New Roman" w:hAnsi="Arial" w:cs="Arial"/>
                <w:sz w:val="20"/>
                <w:szCs w:val="20"/>
                <w:lang w:eastAsia="es-GT"/>
              </w:rPr>
            </w:pPr>
            <w:r w:rsidRPr="003D4713">
              <w:rPr>
                <w:rFonts w:ascii="Arial" w:eastAsia="Times New Roman" w:hAnsi="Arial" w:cs="Arial"/>
                <w:sz w:val="20"/>
                <w:szCs w:val="20"/>
                <w:lang w:eastAsia="es-GT"/>
              </w:rPr>
              <w:t>Instituto Técnico de Capacitación y Productividad (INTECAP)</w:t>
            </w:r>
          </w:p>
        </w:tc>
      </w:tr>
      <w:tr w:rsidR="00207262" w:rsidRPr="003D4713" w14:paraId="0B8D91F2" w14:textId="77777777" w:rsidTr="005113F8">
        <w:trPr>
          <w:trHeight w:val="300"/>
        </w:trPr>
        <w:tc>
          <w:tcPr>
            <w:tcW w:w="567" w:type="dxa"/>
            <w:shd w:val="clear" w:color="000000" w:fill="FFFFFF"/>
            <w:noWrap/>
            <w:vAlign w:val="bottom"/>
            <w:hideMark/>
          </w:tcPr>
          <w:p w14:paraId="6F111B20"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59</w:t>
            </w:r>
          </w:p>
        </w:tc>
        <w:tc>
          <w:tcPr>
            <w:tcW w:w="8261" w:type="dxa"/>
            <w:shd w:val="clear" w:color="000000" w:fill="FFFFFF"/>
            <w:noWrap/>
            <w:vAlign w:val="bottom"/>
            <w:hideMark/>
          </w:tcPr>
          <w:p w14:paraId="7E4A82EC"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Ministerio Público (MP)</w:t>
            </w:r>
          </w:p>
        </w:tc>
      </w:tr>
      <w:tr w:rsidR="00207262" w:rsidRPr="003D4713" w14:paraId="0FE20CF6" w14:textId="77777777" w:rsidTr="005113F8">
        <w:trPr>
          <w:trHeight w:val="300"/>
        </w:trPr>
        <w:tc>
          <w:tcPr>
            <w:tcW w:w="567" w:type="dxa"/>
            <w:shd w:val="clear" w:color="000000" w:fill="FFFFFF"/>
            <w:noWrap/>
            <w:vAlign w:val="bottom"/>
            <w:hideMark/>
          </w:tcPr>
          <w:p w14:paraId="5124AE48"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60</w:t>
            </w:r>
          </w:p>
        </w:tc>
        <w:tc>
          <w:tcPr>
            <w:tcW w:w="8261" w:type="dxa"/>
            <w:shd w:val="clear" w:color="000000" w:fill="FFFFFF"/>
            <w:noWrap/>
            <w:vAlign w:val="bottom"/>
            <w:hideMark/>
          </w:tcPr>
          <w:p w14:paraId="073ED0EF"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Oficina Nacional de Servicio Civil (ONSEC)</w:t>
            </w:r>
          </w:p>
        </w:tc>
      </w:tr>
      <w:tr w:rsidR="00207262" w:rsidRPr="003D4713" w14:paraId="59B4154E" w14:textId="77777777" w:rsidTr="005113F8">
        <w:trPr>
          <w:trHeight w:val="300"/>
        </w:trPr>
        <w:tc>
          <w:tcPr>
            <w:tcW w:w="567" w:type="dxa"/>
            <w:shd w:val="clear" w:color="000000" w:fill="FFFFFF"/>
            <w:noWrap/>
            <w:vAlign w:val="bottom"/>
            <w:hideMark/>
          </w:tcPr>
          <w:p w14:paraId="6E17EC51"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61</w:t>
            </w:r>
          </w:p>
        </w:tc>
        <w:tc>
          <w:tcPr>
            <w:tcW w:w="8261" w:type="dxa"/>
            <w:shd w:val="clear" w:color="000000" w:fill="FFFFFF"/>
            <w:noWrap/>
            <w:vAlign w:val="bottom"/>
            <w:hideMark/>
          </w:tcPr>
          <w:p w14:paraId="26D1CD0C"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Procuraduría de los Derechos Humanos (PDH)</w:t>
            </w:r>
          </w:p>
        </w:tc>
      </w:tr>
      <w:tr w:rsidR="00207262" w:rsidRPr="003D4713" w14:paraId="36C154E8" w14:textId="77777777" w:rsidTr="005113F8">
        <w:trPr>
          <w:trHeight w:val="300"/>
        </w:trPr>
        <w:tc>
          <w:tcPr>
            <w:tcW w:w="567" w:type="dxa"/>
            <w:shd w:val="clear" w:color="000000" w:fill="FFFFFF"/>
            <w:noWrap/>
            <w:vAlign w:val="bottom"/>
            <w:hideMark/>
          </w:tcPr>
          <w:p w14:paraId="6CA24A45"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62</w:t>
            </w:r>
          </w:p>
        </w:tc>
        <w:tc>
          <w:tcPr>
            <w:tcW w:w="8261" w:type="dxa"/>
            <w:shd w:val="clear" w:color="000000" w:fill="FFFFFF"/>
            <w:noWrap/>
            <w:vAlign w:val="bottom"/>
            <w:hideMark/>
          </w:tcPr>
          <w:p w14:paraId="2908195A"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Procuraduría General de la Nación (PGN)</w:t>
            </w:r>
          </w:p>
        </w:tc>
      </w:tr>
      <w:tr w:rsidR="00207262" w:rsidRPr="003D4713" w14:paraId="2DDBC00B" w14:textId="77777777" w:rsidTr="005113F8">
        <w:trPr>
          <w:trHeight w:val="300"/>
        </w:trPr>
        <w:tc>
          <w:tcPr>
            <w:tcW w:w="567" w:type="dxa"/>
            <w:shd w:val="clear" w:color="000000" w:fill="FFFFFF"/>
            <w:noWrap/>
            <w:vAlign w:val="bottom"/>
            <w:hideMark/>
          </w:tcPr>
          <w:p w14:paraId="31E31F80"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63</w:t>
            </w:r>
          </w:p>
        </w:tc>
        <w:tc>
          <w:tcPr>
            <w:tcW w:w="8261" w:type="dxa"/>
            <w:shd w:val="clear" w:color="000000" w:fill="FFFFFF"/>
            <w:noWrap/>
            <w:vAlign w:val="bottom"/>
            <w:hideMark/>
          </w:tcPr>
          <w:p w14:paraId="713C3575"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Registro de Información Catastral (RIC)</w:t>
            </w:r>
          </w:p>
        </w:tc>
      </w:tr>
      <w:tr w:rsidR="00207262" w:rsidRPr="003D4713" w14:paraId="6054FDC2" w14:textId="77777777" w:rsidTr="005113F8">
        <w:trPr>
          <w:trHeight w:val="300"/>
        </w:trPr>
        <w:tc>
          <w:tcPr>
            <w:tcW w:w="567" w:type="dxa"/>
            <w:shd w:val="clear" w:color="000000" w:fill="FFFFFF"/>
            <w:noWrap/>
            <w:vAlign w:val="bottom"/>
            <w:hideMark/>
          </w:tcPr>
          <w:p w14:paraId="62632742"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64</w:t>
            </w:r>
          </w:p>
        </w:tc>
        <w:tc>
          <w:tcPr>
            <w:tcW w:w="8261" w:type="dxa"/>
            <w:shd w:val="clear" w:color="000000" w:fill="FFFFFF"/>
            <w:noWrap/>
            <w:vAlign w:val="bottom"/>
            <w:hideMark/>
          </w:tcPr>
          <w:p w14:paraId="10E5F0D6"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Registro de las Personas (RENAP)</w:t>
            </w:r>
          </w:p>
        </w:tc>
      </w:tr>
      <w:tr w:rsidR="00207262" w:rsidRPr="003D4713" w14:paraId="4C8D7CCF" w14:textId="77777777" w:rsidTr="005113F8">
        <w:trPr>
          <w:trHeight w:val="300"/>
        </w:trPr>
        <w:tc>
          <w:tcPr>
            <w:tcW w:w="567" w:type="dxa"/>
            <w:shd w:val="clear" w:color="000000" w:fill="FFFFFF"/>
            <w:noWrap/>
            <w:vAlign w:val="bottom"/>
            <w:hideMark/>
          </w:tcPr>
          <w:p w14:paraId="3797E846"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65</w:t>
            </w:r>
          </w:p>
        </w:tc>
        <w:tc>
          <w:tcPr>
            <w:tcW w:w="8261" w:type="dxa"/>
            <w:shd w:val="clear" w:color="000000" w:fill="FFFFFF"/>
            <w:vAlign w:val="bottom"/>
            <w:hideMark/>
          </w:tcPr>
          <w:p w14:paraId="59B69560"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Superintendencia de Administración Tributaria (SAT)</w:t>
            </w:r>
          </w:p>
        </w:tc>
      </w:tr>
      <w:tr w:rsidR="00207262" w:rsidRPr="003D4713" w14:paraId="70B20C52" w14:textId="77777777" w:rsidTr="005113F8">
        <w:trPr>
          <w:trHeight w:val="300"/>
        </w:trPr>
        <w:tc>
          <w:tcPr>
            <w:tcW w:w="567" w:type="dxa"/>
            <w:shd w:val="clear" w:color="000000" w:fill="FFFFFF"/>
            <w:noWrap/>
            <w:vAlign w:val="bottom"/>
            <w:hideMark/>
          </w:tcPr>
          <w:p w14:paraId="6AF9F17B"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66</w:t>
            </w:r>
          </w:p>
        </w:tc>
        <w:tc>
          <w:tcPr>
            <w:tcW w:w="8261" w:type="dxa"/>
            <w:shd w:val="clear" w:color="000000" w:fill="FFFFFF"/>
            <w:noWrap/>
            <w:vAlign w:val="bottom"/>
            <w:hideMark/>
          </w:tcPr>
          <w:p w14:paraId="11B1E530"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Tribunal Supremo Electoral (TSE)</w:t>
            </w:r>
          </w:p>
        </w:tc>
      </w:tr>
      <w:tr w:rsidR="00207262" w:rsidRPr="003D4713" w14:paraId="0C821F09" w14:textId="77777777" w:rsidTr="005113F8">
        <w:trPr>
          <w:trHeight w:val="300"/>
        </w:trPr>
        <w:tc>
          <w:tcPr>
            <w:tcW w:w="567" w:type="dxa"/>
            <w:shd w:val="clear" w:color="000000" w:fill="FFFFFF"/>
            <w:noWrap/>
            <w:vAlign w:val="bottom"/>
            <w:hideMark/>
          </w:tcPr>
          <w:p w14:paraId="798F943B"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67</w:t>
            </w:r>
          </w:p>
        </w:tc>
        <w:tc>
          <w:tcPr>
            <w:tcW w:w="8261" w:type="dxa"/>
            <w:shd w:val="clear" w:color="000000" w:fill="FFFFFF"/>
            <w:noWrap/>
            <w:vAlign w:val="bottom"/>
            <w:hideMark/>
          </w:tcPr>
          <w:p w14:paraId="143691C0"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Universidad de San Carlos de Guatemala (USAC)</w:t>
            </w:r>
          </w:p>
        </w:tc>
      </w:tr>
      <w:tr w:rsidR="00207262" w:rsidRPr="003D4713" w14:paraId="3FC53758" w14:textId="77777777" w:rsidTr="005113F8">
        <w:trPr>
          <w:trHeight w:val="300"/>
        </w:trPr>
        <w:tc>
          <w:tcPr>
            <w:tcW w:w="567" w:type="dxa"/>
            <w:shd w:val="clear" w:color="000000" w:fill="FFFFFF"/>
            <w:noWrap/>
            <w:vAlign w:val="bottom"/>
            <w:hideMark/>
          </w:tcPr>
          <w:p w14:paraId="76ED5D28"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68</w:t>
            </w:r>
          </w:p>
        </w:tc>
        <w:tc>
          <w:tcPr>
            <w:tcW w:w="8261" w:type="dxa"/>
            <w:shd w:val="clear" w:color="000000" w:fill="FFFFFF"/>
            <w:noWrap/>
            <w:vAlign w:val="bottom"/>
            <w:hideMark/>
          </w:tcPr>
          <w:p w14:paraId="0B1BACEA" w14:textId="20D66D01"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 xml:space="preserve">Consejo Nacional de Atención al </w:t>
            </w:r>
            <w:r w:rsidR="00207262" w:rsidRPr="003D4713">
              <w:rPr>
                <w:rFonts w:ascii="Arial" w:eastAsia="Times New Roman" w:hAnsi="Arial" w:cs="Arial"/>
                <w:color w:val="000000"/>
                <w:sz w:val="20"/>
                <w:szCs w:val="20"/>
                <w:lang w:eastAsia="es-GT"/>
              </w:rPr>
              <w:t>Migrante (</w:t>
            </w:r>
            <w:r w:rsidR="00374A0B" w:rsidRPr="003D4713">
              <w:rPr>
                <w:rFonts w:ascii="Arial" w:eastAsia="Times New Roman" w:hAnsi="Arial" w:cs="Arial"/>
                <w:color w:val="000000"/>
                <w:sz w:val="20"/>
                <w:szCs w:val="20"/>
                <w:lang w:eastAsia="es-GT"/>
              </w:rPr>
              <w:t>CONAMIGUA</w:t>
            </w:r>
            <w:r w:rsidRPr="003D4713">
              <w:rPr>
                <w:rFonts w:ascii="Arial" w:eastAsia="Times New Roman" w:hAnsi="Arial" w:cs="Arial"/>
                <w:color w:val="000000"/>
                <w:sz w:val="20"/>
                <w:szCs w:val="20"/>
                <w:lang w:eastAsia="es-GT"/>
              </w:rPr>
              <w:t>)</w:t>
            </w:r>
          </w:p>
        </w:tc>
      </w:tr>
      <w:tr w:rsidR="00207262" w:rsidRPr="003D4713" w14:paraId="133E254A" w14:textId="77777777" w:rsidTr="005113F8">
        <w:trPr>
          <w:trHeight w:val="300"/>
        </w:trPr>
        <w:tc>
          <w:tcPr>
            <w:tcW w:w="567" w:type="dxa"/>
            <w:shd w:val="clear" w:color="000000" w:fill="FFFFFF"/>
            <w:noWrap/>
            <w:vAlign w:val="bottom"/>
            <w:hideMark/>
          </w:tcPr>
          <w:p w14:paraId="0BE8F680"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69</w:t>
            </w:r>
          </w:p>
        </w:tc>
        <w:tc>
          <w:tcPr>
            <w:tcW w:w="8261" w:type="dxa"/>
            <w:shd w:val="clear" w:color="000000" w:fill="FFFFFF"/>
            <w:noWrap/>
            <w:vAlign w:val="bottom"/>
            <w:hideMark/>
          </w:tcPr>
          <w:p w14:paraId="03454394" w14:textId="77777777" w:rsidR="003D4713" w:rsidRPr="003D4713" w:rsidRDefault="003D4713" w:rsidP="003D4713">
            <w:pPr>
              <w:spacing w:after="0" w:line="240" w:lineRule="auto"/>
              <w:rPr>
                <w:rFonts w:ascii="Arial" w:eastAsia="Times New Roman" w:hAnsi="Arial" w:cs="Arial"/>
                <w:color w:val="000000"/>
                <w:sz w:val="20"/>
                <w:szCs w:val="20"/>
                <w:lang w:eastAsia="es-GT"/>
              </w:rPr>
            </w:pPr>
            <w:r w:rsidRPr="003D4713">
              <w:rPr>
                <w:rFonts w:ascii="Arial" w:eastAsia="Times New Roman" w:hAnsi="Arial" w:cs="Arial"/>
                <w:color w:val="000000"/>
                <w:sz w:val="20"/>
                <w:szCs w:val="20"/>
                <w:lang w:eastAsia="es-GT"/>
              </w:rPr>
              <w:t xml:space="preserve">Congreso de la República </w:t>
            </w:r>
          </w:p>
        </w:tc>
      </w:tr>
      <w:tr w:rsidR="00207262" w:rsidRPr="003D4713" w14:paraId="5675F9CF" w14:textId="77777777" w:rsidTr="005113F8">
        <w:trPr>
          <w:trHeight w:val="300"/>
        </w:trPr>
        <w:tc>
          <w:tcPr>
            <w:tcW w:w="567" w:type="dxa"/>
            <w:shd w:val="clear" w:color="000000" w:fill="FFFFFF"/>
            <w:noWrap/>
            <w:vAlign w:val="bottom"/>
            <w:hideMark/>
          </w:tcPr>
          <w:p w14:paraId="522934EB"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70</w:t>
            </w:r>
          </w:p>
        </w:tc>
        <w:tc>
          <w:tcPr>
            <w:tcW w:w="8261" w:type="dxa"/>
            <w:shd w:val="clear" w:color="000000" w:fill="FFFFFF"/>
            <w:noWrap/>
            <w:vAlign w:val="bottom"/>
            <w:hideMark/>
          </w:tcPr>
          <w:p w14:paraId="11DFEC39" w14:textId="4A3F8E78" w:rsidR="003D4713" w:rsidRPr="003D4713" w:rsidRDefault="003D4713"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Organismo Judicial</w:t>
            </w:r>
            <w:r w:rsidR="00374A0B">
              <w:rPr>
                <w:rFonts w:ascii="Arial" w:eastAsia="Times New Roman" w:hAnsi="Arial" w:cs="Arial"/>
                <w:sz w:val="20"/>
                <w:szCs w:val="20"/>
                <w:lang w:eastAsia="es-GT"/>
              </w:rPr>
              <w:t xml:space="preserve"> (OJ)</w:t>
            </w:r>
          </w:p>
        </w:tc>
      </w:tr>
      <w:tr w:rsidR="00207262" w:rsidRPr="003D4713" w14:paraId="0A2F4582" w14:textId="77777777" w:rsidTr="005113F8">
        <w:trPr>
          <w:trHeight w:val="300"/>
        </w:trPr>
        <w:tc>
          <w:tcPr>
            <w:tcW w:w="567" w:type="dxa"/>
            <w:shd w:val="clear" w:color="000000" w:fill="FFFFFF"/>
            <w:noWrap/>
            <w:vAlign w:val="bottom"/>
            <w:hideMark/>
          </w:tcPr>
          <w:p w14:paraId="06FD4F66"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71</w:t>
            </w:r>
          </w:p>
        </w:tc>
        <w:tc>
          <w:tcPr>
            <w:tcW w:w="8261" w:type="dxa"/>
            <w:shd w:val="clear" w:color="000000" w:fill="FFFFFF"/>
            <w:noWrap/>
            <w:vAlign w:val="bottom"/>
            <w:hideMark/>
          </w:tcPr>
          <w:p w14:paraId="3EDB9D53" w14:textId="3412A2D5" w:rsidR="003D4713" w:rsidRPr="003D4713" w:rsidRDefault="00207262" w:rsidP="003D4713">
            <w:pPr>
              <w:spacing w:after="0" w:line="240" w:lineRule="auto"/>
              <w:rPr>
                <w:rFonts w:ascii="Arial" w:eastAsia="Times New Roman" w:hAnsi="Arial" w:cs="Arial"/>
                <w:sz w:val="20"/>
                <w:szCs w:val="20"/>
                <w:lang w:eastAsia="es-GT"/>
              </w:rPr>
            </w:pPr>
            <w:r w:rsidRPr="003D4713">
              <w:rPr>
                <w:rFonts w:ascii="Arial" w:eastAsia="Times New Roman" w:hAnsi="Arial" w:cs="Arial"/>
                <w:sz w:val="20"/>
                <w:szCs w:val="20"/>
                <w:lang w:eastAsia="es-GT"/>
              </w:rPr>
              <w:t>Inspectoría</w:t>
            </w:r>
            <w:r w:rsidR="003D4713" w:rsidRPr="003D4713">
              <w:rPr>
                <w:rFonts w:ascii="Arial" w:eastAsia="Times New Roman" w:hAnsi="Arial" w:cs="Arial"/>
                <w:sz w:val="20"/>
                <w:szCs w:val="20"/>
                <w:lang w:eastAsia="es-GT"/>
              </w:rPr>
              <w:t xml:space="preserve"> General del Sistema Nacional de Seguridad </w:t>
            </w:r>
            <w:r w:rsidR="00374A0B">
              <w:rPr>
                <w:rFonts w:ascii="Arial" w:eastAsia="Times New Roman" w:hAnsi="Arial" w:cs="Arial"/>
                <w:sz w:val="20"/>
                <w:szCs w:val="20"/>
                <w:lang w:eastAsia="es-GT"/>
              </w:rPr>
              <w:t>(</w:t>
            </w:r>
            <w:r w:rsidR="003D4713" w:rsidRPr="003D4713">
              <w:rPr>
                <w:rFonts w:ascii="Arial" w:eastAsia="Times New Roman" w:hAnsi="Arial" w:cs="Arial"/>
                <w:sz w:val="20"/>
                <w:szCs w:val="20"/>
                <w:lang w:eastAsia="es-GT"/>
              </w:rPr>
              <w:t>IGSNS</w:t>
            </w:r>
            <w:r w:rsidR="00374A0B">
              <w:rPr>
                <w:rFonts w:ascii="Arial" w:eastAsia="Times New Roman" w:hAnsi="Arial" w:cs="Arial"/>
                <w:sz w:val="20"/>
                <w:szCs w:val="20"/>
                <w:lang w:eastAsia="es-GT"/>
              </w:rPr>
              <w:t>)</w:t>
            </w:r>
          </w:p>
        </w:tc>
      </w:tr>
      <w:tr w:rsidR="00207262" w:rsidRPr="003D4713" w14:paraId="7FA1E60F" w14:textId="77777777" w:rsidTr="005113F8">
        <w:trPr>
          <w:trHeight w:val="300"/>
        </w:trPr>
        <w:tc>
          <w:tcPr>
            <w:tcW w:w="567" w:type="dxa"/>
            <w:shd w:val="clear" w:color="000000" w:fill="FFFFFF"/>
            <w:noWrap/>
            <w:vAlign w:val="bottom"/>
            <w:hideMark/>
          </w:tcPr>
          <w:p w14:paraId="528A4339"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72</w:t>
            </w:r>
          </w:p>
        </w:tc>
        <w:tc>
          <w:tcPr>
            <w:tcW w:w="8261" w:type="dxa"/>
            <w:shd w:val="clear" w:color="000000" w:fill="FFFFFF"/>
            <w:vAlign w:val="center"/>
            <w:hideMark/>
          </w:tcPr>
          <w:p w14:paraId="1D41C7FD"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Ajedrez de Guatemala (FENAG)</w:t>
            </w:r>
          </w:p>
        </w:tc>
      </w:tr>
      <w:tr w:rsidR="00207262" w:rsidRPr="003D4713" w14:paraId="1942471F" w14:textId="77777777" w:rsidTr="005113F8">
        <w:trPr>
          <w:trHeight w:val="300"/>
        </w:trPr>
        <w:tc>
          <w:tcPr>
            <w:tcW w:w="567" w:type="dxa"/>
            <w:shd w:val="clear" w:color="000000" w:fill="FFFFFF"/>
            <w:noWrap/>
            <w:vAlign w:val="bottom"/>
            <w:hideMark/>
          </w:tcPr>
          <w:p w14:paraId="0103D3A6"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73</w:t>
            </w:r>
          </w:p>
        </w:tc>
        <w:tc>
          <w:tcPr>
            <w:tcW w:w="8261" w:type="dxa"/>
            <w:shd w:val="clear" w:color="000000" w:fill="FFFFFF"/>
            <w:vAlign w:val="center"/>
            <w:hideMark/>
          </w:tcPr>
          <w:p w14:paraId="0ADB4712"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Andinismo de Guatemala (FNA)</w:t>
            </w:r>
          </w:p>
        </w:tc>
      </w:tr>
      <w:tr w:rsidR="00207262" w:rsidRPr="003D4713" w14:paraId="0D383AB7" w14:textId="77777777" w:rsidTr="005113F8">
        <w:trPr>
          <w:trHeight w:val="300"/>
        </w:trPr>
        <w:tc>
          <w:tcPr>
            <w:tcW w:w="567" w:type="dxa"/>
            <w:shd w:val="clear" w:color="000000" w:fill="FFFFFF"/>
            <w:noWrap/>
            <w:vAlign w:val="bottom"/>
            <w:hideMark/>
          </w:tcPr>
          <w:p w14:paraId="1EAF3D7A"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74</w:t>
            </w:r>
          </w:p>
        </w:tc>
        <w:tc>
          <w:tcPr>
            <w:tcW w:w="8261" w:type="dxa"/>
            <w:shd w:val="clear" w:color="000000" w:fill="FFFFFF"/>
            <w:vAlign w:val="center"/>
            <w:hideMark/>
          </w:tcPr>
          <w:p w14:paraId="43D63EE9"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Atletismo de Guatemala</w:t>
            </w:r>
          </w:p>
        </w:tc>
      </w:tr>
      <w:tr w:rsidR="00207262" w:rsidRPr="003D4713" w14:paraId="078ED24A" w14:textId="77777777" w:rsidTr="005113F8">
        <w:trPr>
          <w:trHeight w:val="300"/>
        </w:trPr>
        <w:tc>
          <w:tcPr>
            <w:tcW w:w="567" w:type="dxa"/>
            <w:shd w:val="clear" w:color="000000" w:fill="FFFFFF"/>
            <w:noWrap/>
            <w:vAlign w:val="bottom"/>
            <w:hideMark/>
          </w:tcPr>
          <w:p w14:paraId="413133FB"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75</w:t>
            </w:r>
          </w:p>
        </w:tc>
        <w:tc>
          <w:tcPr>
            <w:tcW w:w="8261" w:type="dxa"/>
            <w:shd w:val="clear" w:color="000000" w:fill="FFFFFF"/>
            <w:vAlign w:val="center"/>
            <w:hideMark/>
          </w:tcPr>
          <w:p w14:paraId="17A3F230"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Badminton de Guatemala (FNB)</w:t>
            </w:r>
          </w:p>
        </w:tc>
      </w:tr>
      <w:tr w:rsidR="00207262" w:rsidRPr="003D4713" w14:paraId="24E62F4C" w14:textId="77777777" w:rsidTr="005113F8">
        <w:trPr>
          <w:trHeight w:val="300"/>
        </w:trPr>
        <w:tc>
          <w:tcPr>
            <w:tcW w:w="567" w:type="dxa"/>
            <w:shd w:val="clear" w:color="000000" w:fill="FFFFFF"/>
            <w:noWrap/>
            <w:vAlign w:val="bottom"/>
            <w:hideMark/>
          </w:tcPr>
          <w:p w14:paraId="0D2612DD"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lastRenderedPageBreak/>
              <w:t>76</w:t>
            </w:r>
          </w:p>
        </w:tc>
        <w:tc>
          <w:tcPr>
            <w:tcW w:w="8261" w:type="dxa"/>
            <w:shd w:val="clear" w:color="000000" w:fill="FFFFFF"/>
            <w:vAlign w:val="center"/>
            <w:hideMark/>
          </w:tcPr>
          <w:p w14:paraId="08AE61AF"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Baloncesto de Guatemala.</w:t>
            </w:r>
          </w:p>
        </w:tc>
      </w:tr>
      <w:tr w:rsidR="00207262" w:rsidRPr="003D4713" w14:paraId="0B1B240D" w14:textId="77777777" w:rsidTr="005113F8">
        <w:trPr>
          <w:trHeight w:val="300"/>
        </w:trPr>
        <w:tc>
          <w:tcPr>
            <w:tcW w:w="567" w:type="dxa"/>
            <w:shd w:val="clear" w:color="000000" w:fill="FFFFFF"/>
            <w:noWrap/>
            <w:vAlign w:val="bottom"/>
            <w:hideMark/>
          </w:tcPr>
          <w:p w14:paraId="2DB13D58"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77</w:t>
            </w:r>
          </w:p>
        </w:tc>
        <w:tc>
          <w:tcPr>
            <w:tcW w:w="8261" w:type="dxa"/>
            <w:shd w:val="clear" w:color="000000" w:fill="FFFFFF"/>
            <w:vAlign w:val="center"/>
            <w:hideMark/>
          </w:tcPr>
          <w:p w14:paraId="038B1E6E"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Balonmano de Guatemala.</w:t>
            </w:r>
          </w:p>
        </w:tc>
      </w:tr>
      <w:tr w:rsidR="00207262" w:rsidRPr="003D4713" w14:paraId="24E53E54" w14:textId="77777777" w:rsidTr="005113F8">
        <w:trPr>
          <w:trHeight w:val="300"/>
        </w:trPr>
        <w:tc>
          <w:tcPr>
            <w:tcW w:w="567" w:type="dxa"/>
            <w:shd w:val="clear" w:color="000000" w:fill="FFFFFF"/>
            <w:noWrap/>
            <w:vAlign w:val="bottom"/>
            <w:hideMark/>
          </w:tcPr>
          <w:p w14:paraId="2B42C224"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78</w:t>
            </w:r>
          </w:p>
        </w:tc>
        <w:tc>
          <w:tcPr>
            <w:tcW w:w="8261" w:type="dxa"/>
            <w:shd w:val="clear" w:color="000000" w:fill="FFFFFF"/>
            <w:vAlign w:val="center"/>
            <w:hideMark/>
          </w:tcPr>
          <w:p w14:paraId="3B1EBA7E"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Béisbol de Guatemala.</w:t>
            </w:r>
          </w:p>
        </w:tc>
      </w:tr>
      <w:tr w:rsidR="00207262" w:rsidRPr="003D4713" w14:paraId="66E17E4D" w14:textId="77777777" w:rsidTr="005113F8">
        <w:trPr>
          <w:trHeight w:val="300"/>
        </w:trPr>
        <w:tc>
          <w:tcPr>
            <w:tcW w:w="567" w:type="dxa"/>
            <w:shd w:val="clear" w:color="000000" w:fill="FFFFFF"/>
            <w:noWrap/>
            <w:vAlign w:val="bottom"/>
            <w:hideMark/>
          </w:tcPr>
          <w:p w14:paraId="0994EC18"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79</w:t>
            </w:r>
          </w:p>
        </w:tc>
        <w:tc>
          <w:tcPr>
            <w:tcW w:w="8261" w:type="dxa"/>
            <w:shd w:val="clear" w:color="000000" w:fill="FFFFFF"/>
            <w:vAlign w:val="center"/>
            <w:hideMark/>
          </w:tcPr>
          <w:p w14:paraId="31320473"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Boliche de Guatemala.</w:t>
            </w:r>
          </w:p>
        </w:tc>
      </w:tr>
      <w:tr w:rsidR="00207262" w:rsidRPr="003D4713" w14:paraId="6F4F0D37" w14:textId="77777777" w:rsidTr="005113F8">
        <w:trPr>
          <w:trHeight w:val="300"/>
        </w:trPr>
        <w:tc>
          <w:tcPr>
            <w:tcW w:w="567" w:type="dxa"/>
            <w:shd w:val="clear" w:color="000000" w:fill="FFFFFF"/>
            <w:noWrap/>
            <w:vAlign w:val="bottom"/>
            <w:hideMark/>
          </w:tcPr>
          <w:p w14:paraId="73B73798"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80</w:t>
            </w:r>
          </w:p>
        </w:tc>
        <w:tc>
          <w:tcPr>
            <w:tcW w:w="8261" w:type="dxa"/>
            <w:shd w:val="clear" w:color="000000" w:fill="FFFFFF"/>
            <w:vAlign w:val="center"/>
            <w:hideMark/>
          </w:tcPr>
          <w:p w14:paraId="56DCCA70"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Boxeo de Guatemala.</w:t>
            </w:r>
          </w:p>
        </w:tc>
      </w:tr>
      <w:tr w:rsidR="00207262" w:rsidRPr="003D4713" w14:paraId="4C20E180" w14:textId="77777777" w:rsidTr="005113F8">
        <w:trPr>
          <w:trHeight w:val="300"/>
        </w:trPr>
        <w:tc>
          <w:tcPr>
            <w:tcW w:w="567" w:type="dxa"/>
            <w:shd w:val="clear" w:color="000000" w:fill="FFFFFF"/>
            <w:noWrap/>
            <w:vAlign w:val="bottom"/>
            <w:hideMark/>
          </w:tcPr>
          <w:p w14:paraId="46BAF1B7"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81</w:t>
            </w:r>
          </w:p>
        </w:tc>
        <w:tc>
          <w:tcPr>
            <w:tcW w:w="8261" w:type="dxa"/>
            <w:shd w:val="clear" w:color="000000" w:fill="FFFFFF"/>
            <w:vAlign w:val="center"/>
            <w:hideMark/>
          </w:tcPr>
          <w:p w14:paraId="0CD7C157"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Ciclismo de Guatemala.</w:t>
            </w:r>
          </w:p>
        </w:tc>
      </w:tr>
      <w:tr w:rsidR="00207262" w:rsidRPr="003D4713" w14:paraId="7F03EA15" w14:textId="77777777" w:rsidTr="005113F8">
        <w:trPr>
          <w:trHeight w:val="300"/>
        </w:trPr>
        <w:tc>
          <w:tcPr>
            <w:tcW w:w="567" w:type="dxa"/>
            <w:shd w:val="clear" w:color="000000" w:fill="FFFFFF"/>
            <w:noWrap/>
            <w:vAlign w:val="bottom"/>
            <w:hideMark/>
          </w:tcPr>
          <w:p w14:paraId="2477BC80"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82</w:t>
            </w:r>
          </w:p>
        </w:tc>
        <w:tc>
          <w:tcPr>
            <w:tcW w:w="8261" w:type="dxa"/>
            <w:shd w:val="clear" w:color="000000" w:fill="FFFFFF"/>
            <w:vAlign w:val="center"/>
            <w:hideMark/>
          </w:tcPr>
          <w:p w14:paraId="20873B8A"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Esgrima de Guatemala (FNE)</w:t>
            </w:r>
          </w:p>
        </w:tc>
      </w:tr>
      <w:tr w:rsidR="00207262" w:rsidRPr="003D4713" w14:paraId="6E2E7354" w14:textId="77777777" w:rsidTr="005113F8">
        <w:trPr>
          <w:trHeight w:val="300"/>
        </w:trPr>
        <w:tc>
          <w:tcPr>
            <w:tcW w:w="567" w:type="dxa"/>
            <w:shd w:val="clear" w:color="000000" w:fill="FFFFFF"/>
            <w:noWrap/>
            <w:vAlign w:val="bottom"/>
            <w:hideMark/>
          </w:tcPr>
          <w:p w14:paraId="5438165F"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83</w:t>
            </w:r>
          </w:p>
        </w:tc>
        <w:tc>
          <w:tcPr>
            <w:tcW w:w="8261" w:type="dxa"/>
            <w:shd w:val="clear" w:color="000000" w:fill="FFFFFF"/>
            <w:vAlign w:val="center"/>
            <w:hideMark/>
          </w:tcPr>
          <w:p w14:paraId="06BF2656" w14:textId="05331DDE"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 xml:space="preserve">Federación Nacional de </w:t>
            </w:r>
            <w:r w:rsidR="00207262" w:rsidRPr="003D4713">
              <w:rPr>
                <w:rFonts w:ascii="Arial" w:eastAsia="Times New Roman" w:hAnsi="Arial" w:cs="Arial"/>
                <w:color w:val="222222"/>
                <w:sz w:val="21"/>
                <w:szCs w:val="21"/>
                <w:lang w:eastAsia="es-GT"/>
              </w:rPr>
              <w:t>Fisicoculturismo</w:t>
            </w:r>
            <w:r w:rsidRPr="003D4713">
              <w:rPr>
                <w:rFonts w:ascii="Arial" w:eastAsia="Times New Roman" w:hAnsi="Arial" w:cs="Arial"/>
                <w:color w:val="222222"/>
                <w:sz w:val="21"/>
                <w:szCs w:val="21"/>
                <w:lang w:eastAsia="es-GT"/>
              </w:rPr>
              <w:t xml:space="preserve"> de Guatemala.</w:t>
            </w:r>
          </w:p>
        </w:tc>
      </w:tr>
      <w:tr w:rsidR="00207262" w:rsidRPr="003D4713" w14:paraId="6290EA9A" w14:textId="77777777" w:rsidTr="005113F8">
        <w:trPr>
          <w:trHeight w:val="300"/>
        </w:trPr>
        <w:tc>
          <w:tcPr>
            <w:tcW w:w="567" w:type="dxa"/>
            <w:shd w:val="clear" w:color="000000" w:fill="FFFFFF"/>
            <w:noWrap/>
            <w:vAlign w:val="bottom"/>
            <w:hideMark/>
          </w:tcPr>
          <w:p w14:paraId="070B3F4D"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84</w:t>
            </w:r>
          </w:p>
        </w:tc>
        <w:tc>
          <w:tcPr>
            <w:tcW w:w="8261" w:type="dxa"/>
            <w:shd w:val="clear" w:color="000000" w:fill="FFFFFF"/>
            <w:noWrap/>
            <w:vAlign w:val="bottom"/>
            <w:hideMark/>
          </w:tcPr>
          <w:p w14:paraId="55882219" w14:textId="77777777" w:rsidR="003D4713" w:rsidRPr="003D4713" w:rsidRDefault="003D4713" w:rsidP="003D4713">
            <w:pPr>
              <w:spacing w:after="0" w:line="240" w:lineRule="auto"/>
              <w:rPr>
                <w:rFonts w:ascii="Calibri" w:eastAsia="Times New Roman" w:hAnsi="Calibri" w:cs="Times New Roman"/>
                <w:color w:val="000000"/>
                <w:lang w:eastAsia="es-GT"/>
              </w:rPr>
            </w:pPr>
            <w:r w:rsidRPr="003D4713">
              <w:rPr>
                <w:rFonts w:ascii="Calibri" w:eastAsia="Times New Roman" w:hAnsi="Calibri" w:cs="Times New Roman"/>
                <w:color w:val="000000"/>
                <w:lang w:eastAsia="es-GT"/>
              </w:rPr>
              <w:t>Federación Nacional de Fútbol de Guatemala</w:t>
            </w:r>
          </w:p>
        </w:tc>
      </w:tr>
      <w:tr w:rsidR="00207262" w:rsidRPr="003D4713" w14:paraId="5B3793DA" w14:textId="77777777" w:rsidTr="005113F8">
        <w:trPr>
          <w:trHeight w:val="300"/>
        </w:trPr>
        <w:tc>
          <w:tcPr>
            <w:tcW w:w="567" w:type="dxa"/>
            <w:shd w:val="clear" w:color="000000" w:fill="FFFFFF"/>
            <w:noWrap/>
            <w:vAlign w:val="bottom"/>
            <w:hideMark/>
          </w:tcPr>
          <w:p w14:paraId="6C8507C2"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85</w:t>
            </w:r>
          </w:p>
        </w:tc>
        <w:tc>
          <w:tcPr>
            <w:tcW w:w="8261" w:type="dxa"/>
            <w:shd w:val="clear" w:color="000000" w:fill="FFFFFF"/>
            <w:vAlign w:val="center"/>
            <w:hideMark/>
          </w:tcPr>
          <w:p w14:paraId="46879A4F"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Gimnasia de Guatemala</w:t>
            </w:r>
          </w:p>
        </w:tc>
      </w:tr>
      <w:tr w:rsidR="00207262" w:rsidRPr="003D4713" w14:paraId="7E8FD0A0" w14:textId="77777777" w:rsidTr="005113F8">
        <w:trPr>
          <w:trHeight w:val="300"/>
        </w:trPr>
        <w:tc>
          <w:tcPr>
            <w:tcW w:w="567" w:type="dxa"/>
            <w:shd w:val="clear" w:color="000000" w:fill="FFFFFF"/>
            <w:noWrap/>
            <w:vAlign w:val="bottom"/>
            <w:hideMark/>
          </w:tcPr>
          <w:p w14:paraId="7E2FF326"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86</w:t>
            </w:r>
          </w:p>
        </w:tc>
        <w:tc>
          <w:tcPr>
            <w:tcW w:w="8261" w:type="dxa"/>
            <w:shd w:val="clear" w:color="000000" w:fill="FFFFFF"/>
            <w:vAlign w:val="center"/>
            <w:hideMark/>
          </w:tcPr>
          <w:p w14:paraId="108FFAA9"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Judo de Guatemala.</w:t>
            </w:r>
          </w:p>
        </w:tc>
      </w:tr>
      <w:tr w:rsidR="00207262" w:rsidRPr="003D4713" w14:paraId="796D39B9" w14:textId="77777777" w:rsidTr="005113F8">
        <w:trPr>
          <w:trHeight w:val="300"/>
        </w:trPr>
        <w:tc>
          <w:tcPr>
            <w:tcW w:w="567" w:type="dxa"/>
            <w:shd w:val="clear" w:color="000000" w:fill="FFFFFF"/>
            <w:noWrap/>
            <w:vAlign w:val="bottom"/>
            <w:hideMark/>
          </w:tcPr>
          <w:p w14:paraId="6E4382E8"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87</w:t>
            </w:r>
          </w:p>
        </w:tc>
        <w:tc>
          <w:tcPr>
            <w:tcW w:w="8261" w:type="dxa"/>
            <w:shd w:val="clear" w:color="000000" w:fill="FFFFFF"/>
            <w:vAlign w:val="center"/>
            <w:hideMark/>
          </w:tcPr>
          <w:p w14:paraId="2F01F6FE"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Karate Do de Guatemala</w:t>
            </w:r>
          </w:p>
        </w:tc>
      </w:tr>
      <w:tr w:rsidR="00207262" w:rsidRPr="003D4713" w14:paraId="6856E50D" w14:textId="77777777" w:rsidTr="005113F8">
        <w:trPr>
          <w:trHeight w:val="300"/>
        </w:trPr>
        <w:tc>
          <w:tcPr>
            <w:tcW w:w="567" w:type="dxa"/>
            <w:shd w:val="clear" w:color="000000" w:fill="FFFFFF"/>
            <w:noWrap/>
            <w:vAlign w:val="bottom"/>
            <w:hideMark/>
          </w:tcPr>
          <w:p w14:paraId="6E4C6B09"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88</w:t>
            </w:r>
          </w:p>
        </w:tc>
        <w:tc>
          <w:tcPr>
            <w:tcW w:w="8261" w:type="dxa"/>
            <w:shd w:val="clear" w:color="000000" w:fill="FFFFFF"/>
            <w:vAlign w:val="center"/>
            <w:hideMark/>
          </w:tcPr>
          <w:p w14:paraId="04B329CA"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Levantamiento de Pesas de Guatemala</w:t>
            </w:r>
          </w:p>
        </w:tc>
      </w:tr>
      <w:tr w:rsidR="00207262" w:rsidRPr="003D4713" w14:paraId="2625845D" w14:textId="77777777" w:rsidTr="005113F8">
        <w:trPr>
          <w:trHeight w:val="300"/>
        </w:trPr>
        <w:tc>
          <w:tcPr>
            <w:tcW w:w="567" w:type="dxa"/>
            <w:shd w:val="clear" w:color="000000" w:fill="FFFFFF"/>
            <w:noWrap/>
            <w:vAlign w:val="bottom"/>
            <w:hideMark/>
          </w:tcPr>
          <w:p w14:paraId="689E062D"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89</w:t>
            </w:r>
          </w:p>
        </w:tc>
        <w:tc>
          <w:tcPr>
            <w:tcW w:w="8261" w:type="dxa"/>
            <w:shd w:val="clear" w:color="000000" w:fill="FFFFFF"/>
            <w:vAlign w:val="center"/>
            <w:hideMark/>
          </w:tcPr>
          <w:p w14:paraId="115FE01D"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Levantamiento de Potencia de Guatemala.</w:t>
            </w:r>
          </w:p>
        </w:tc>
      </w:tr>
      <w:tr w:rsidR="00207262" w:rsidRPr="003D4713" w14:paraId="2BA5818F" w14:textId="77777777" w:rsidTr="005113F8">
        <w:trPr>
          <w:trHeight w:val="300"/>
        </w:trPr>
        <w:tc>
          <w:tcPr>
            <w:tcW w:w="567" w:type="dxa"/>
            <w:shd w:val="clear" w:color="000000" w:fill="FFFFFF"/>
            <w:noWrap/>
            <w:vAlign w:val="bottom"/>
            <w:hideMark/>
          </w:tcPr>
          <w:p w14:paraId="0853B6BC"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90</w:t>
            </w:r>
          </w:p>
        </w:tc>
        <w:tc>
          <w:tcPr>
            <w:tcW w:w="8261" w:type="dxa"/>
            <w:shd w:val="clear" w:color="000000" w:fill="FFFFFF"/>
            <w:vAlign w:val="center"/>
            <w:hideMark/>
          </w:tcPr>
          <w:p w14:paraId="0E9600B3"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Luchas de Guatemala</w:t>
            </w:r>
          </w:p>
        </w:tc>
      </w:tr>
      <w:tr w:rsidR="00207262" w:rsidRPr="003D4713" w14:paraId="1023F6BE" w14:textId="77777777" w:rsidTr="005113F8">
        <w:trPr>
          <w:trHeight w:val="300"/>
        </w:trPr>
        <w:tc>
          <w:tcPr>
            <w:tcW w:w="567" w:type="dxa"/>
            <w:shd w:val="clear" w:color="000000" w:fill="FFFFFF"/>
            <w:noWrap/>
            <w:vAlign w:val="bottom"/>
            <w:hideMark/>
          </w:tcPr>
          <w:p w14:paraId="07681D13"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91</w:t>
            </w:r>
          </w:p>
        </w:tc>
        <w:tc>
          <w:tcPr>
            <w:tcW w:w="8261" w:type="dxa"/>
            <w:shd w:val="clear" w:color="000000" w:fill="FFFFFF"/>
            <w:vAlign w:val="center"/>
            <w:hideMark/>
          </w:tcPr>
          <w:p w14:paraId="40301860"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Motociclismo de Guatemala</w:t>
            </w:r>
          </w:p>
        </w:tc>
      </w:tr>
      <w:tr w:rsidR="00207262" w:rsidRPr="003D4713" w14:paraId="5DF170A6" w14:textId="77777777" w:rsidTr="005113F8">
        <w:trPr>
          <w:trHeight w:val="300"/>
        </w:trPr>
        <w:tc>
          <w:tcPr>
            <w:tcW w:w="567" w:type="dxa"/>
            <w:shd w:val="clear" w:color="000000" w:fill="FFFFFF"/>
            <w:noWrap/>
            <w:vAlign w:val="bottom"/>
            <w:hideMark/>
          </w:tcPr>
          <w:p w14:paraId="4EBD7EA9"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92</w:t>
            </w:r>
          </w:p>
        </w:tc>
        <w:tc>
          <w:tcPr>
            <w:tcW w:w="8261" w:type="dxa"/>
            <w:shd w:val="clear" w:color="000000" w:fill="FFFFFF"/>
            <w:vAlign w:val="center"/>
            <w:hideMark/>
          </w:tcPr>
          <w:p w14:paraId="56B0F69B"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Natación, Clavados, Nado Sincronizado, Polo Acuático de Guatemala.</w:t>
            </w:r>
          </w:p>
        </w:tc>
      </w:tr>
      <w:tr w:rsidR="00207262" w:rsidRPr="003D4713" w14:paraId="686DE249" w14:textId="77777777" w:rsidTr="005113F8">
        <w:trPr>
          <w:trHeight w:val="300"/>
        </w:trPr>
        <w:tc>
          <w:tcPr>
            <w:tcW w:w="567" w:type="dxa"/>
            <w:shd w:val="clear" w:color="000000" w:fill="FFFFFF"/>
            <w:noWrap/>
            <w:vAlign w:val="bottom"/>
            <w:hideMark/>
          </w:tcPr>
          <w:p w14:paraId="127B7011"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93</w:t>
            </w:r>
          </w:p>
        </w:tc>
        <w:tc>
          <w:tcPr>
            <w:tcW w:w="8261" w:type="dxa"/>
            <w:shd w:val="clear" w:color="000000" w:fill="FFFFFF"/>
            <w:vAlign w:val="center"/>
            <w:hideMark/>
          </w:tcPr>
          <w:p w14:paraId="2486F4E6"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Patinaje sobre Ruedas de Guatemala</w:t>
            </w:r>
          </w:p>
        </w:tc>
      </w:tr>
      <w:tr w:rsidR="00207262" w:rsidRPr="003D4713" w14:paraId="7D450ADD" w14:textId="77777777" w:rsidTr="005113F8">
        <w:trPr>
          <w:trHeight w:val="300"/>
        </w:trPr>
        <w:tc>
          <w:tcPr>
            <w:tcW w:w="567" w:type="dxa"/>
            <w:shd w:val="clear" w:color="000000" w:fill="FFFFFF"/>
            <w:noWrap/>
            <w:vAlign w:val="bottom"/>
            <w:hideMark/>
          </w:tcPr>
          <w:p w14:paraId="5A8EF657"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94</w:t>
            </w:r>
          </w:p>
        </w:tc>
        <w:tc>
          <w:tcPr>
            <w:tcW w:w="8261" w:type="dxa"/>
            <w:shd w:val="clear" w:color="000000" w:fill="FFFFFF"/>
            <w:vAlign w:val="center"/>
            <w:hideMark/>
          </w:tcPr>
          <w:p w14:paraId="398D500E"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Remo y Canotaje de Guatemala</w:t>
            </w:r>
          </w:p>
        </w:tc>
      </w:tr>
      <w:tr w:rsidR="00207262" w:rsidRPr="003D4713" w14:paraId="15BFA7BA" w14:textId="77777777" w:rsidTr="005113F8">
        <w:trPr>
          <w:trHeight w:val="300"/>
        </w:trPr>
        <w:tc>
          <w:tcPr>
            <w:tcW w:w="567" w:type="dxa"/>
            <w:shd w:val="clear" w:color="000000" w:fill="FFFFFF"/>
            <w:noWrap/>
            <w:vAlign w:val="bottom"/>
            <w:hideMark/>
          </w:tcPr>
          <w:p w14:paraId="5CBEC20F"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95</w:t>
            </w:r>
          </w:p>
        </w:tc>
        <w:tc>
          <w:tcPr>
            <w:tcW w:w="8261" w:type="dxa"/>
            <w:shd w:val="clear" w:color="000000" w:fill="FFFFFF"/>
            <w:vAlign w:val="center"/>
            <w:hideMark/>
          </w:tcPr>
          <w:p w14:paraId="1D27AA5E" w14:textId="37C586AC"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 xml:space="preserve">Federación Nacional de </w:t>
            </w:r>
            <w:r w:rsidR="00C378EB" w:rsidRPr="003D4713">
              <w:rPr>
                <w:rFonts w:ascii="Arial" w:eastAsia="Times New Roman" w:hAnsi="Arial" w:cs="Arial"/>
                <w:color w:val="222222"/>
                <w:sz w:val="21"/>
                <w:szCs w:val="21"/>
                <w:lang w:eastAsia="es-GT"/>
              </w:rPr>
              <w:t>Taekwondo</w:t>
            </w:r>
            <w:r w:rsidRPr="003D4713">
              <w:rPr>
                <w:rFonts w:ascii="Arial" w:eastAsia="Times New Roman" w:hAnsi="Arial" w:cs="Arial"/>
                <w:color w:val="222222"/>
                <w:sz w:val="21"/>
                <w:szCs w:val="21"/>
                <w:lang w:eastAsia="es-GT"/>
              </w:rPr>
              <w:t xml:space="preserve"> Do de Guatemala.</w:t>
            </w:r>
          </w:p>
        </w:tc>
      </w:tr>
      <w:tr w:rsidR="00207262" w:rsidRPr="003D4713" w14:paraId="51A971C3" w14:textId="77777777" w:rsidTr="005113F8">
        <w:trPr>
          <w:trHeight w:val="300"/>
        </w:trPr>
        <w:tc>
          <w:tcPr>
            <w:tcW w:w="567" w:type="dxa"/>
            <w:shd w:val="clear" w:color="000000" w:fill="FFFFFF"/>
            <w:noWrap/>
            <w:vAlign w:val="bottom"/>
            <w:hideMark/>
          </w:tcPr>
          <w:p w14:paraId="74923A4C"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96</w:t>
            </w:r>
          </w:p>
        </w:tc>
        <w:tc>
          <w:tcPr>
            <w:tcW w:w="8261" w:type="dxa"/>
            <w:shd w:val="clear" w:color="000000" w:fill="FFFFFF"/>
            <w:vAlign w:val="center"/>
            <w:hideMark/>
          </w:tcPr>
          <w:p w14:paraId="28D36A80"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Tenis de Campo de Guatemala.</w:t>
            </w:r>
          </w:p>
        </w:tc>
      </w:tr>
      <w:tr w:rsidR="00207262" w:rsidRPr="003D4713" w14:paraId="427F24DE" w14:textId="77777777" w:rsidTr="005113F8">
        <w:trPr>
          <w:trHeight w:val="300"/>
        </w:trPr>
        <w:tc>
          <w:tcPr>
            <w:tcW w:w="567" w:type="dxa"/>
            <w:shd w:val="clear" w:color="000000" w:fill="FFFFFF"/>
            <w:noWrap/>
            <w:vAlign w:val="bottom"/>
            <w:hideMark/>
          </w:tcPr>
          <w:p w14:paraId="6C7E27B2"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97</w:t>
            </w:r>
          </w:p>
        </w:tc>
        <w:tc>
          <w:tcPr>
            <w:tcW w:w="8261" w:type="dxa"/>
            <w:shd w:val="clear" w:color="000000" w:fill="FFFFFF"/>
            <w:vAlign w:val="center"/>
            <w:hideMark/>
          </w:tcPr>
          <w:p w14:paraId="3EC5BA0C"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Tenis de Mesa de Guatemala</w:t>
            </w:r>
          </w:p>
        </w:tc>
      </w:tr>
      <w:tr w:rsidR="00207262" w:rsidRPr="003D4713" w14:paraId="69B15848" w14:textId="77777777" w:rsidTr="005113F8">
        <w:trPr>
          <w:trHeight w:val="300"/>
        </w:trPr>
        <w:tc>
          <w:tcPr>
            <w:tcW w:w="567" w:type="dxa"/>
            <w:shd w:val="clear" w:color="000000" w:fill="FFFFFF"/>
            <w:noWrap/>
            <w:vAlign w:val="bottom"/>
            <w:hideMark/>
          </w:tcPr>
          <w:p w14:paraId="22B62F91"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98</w:t>
            </w:r>
          </w:p>
        </w:tc>
        <w:tc>
          <w:tcPr>
            <w:tcW w:w="8261" w:type="dxa"/>
            <w:shd w:val="clear" w:color="000000" w:fill="FFFFFF"/>
            <w:vAlign w:val="center"/>
            <w:hideMark/>
          </w:tcPr>
          <w:p w14:paraId="424B9C20"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Tiro Deportivo de Guatemala</w:t>
            </w:r>
          </w:p>
        </w:tc>
      </w:tr>
      <w:tr w:rsidR="00207262" w:rsidRPr="003D4713" w14:paraId="537E4D60" w14:textId="77777777" w:rsidTr="005113F8">
        <w:trPr>
          <w:trHeight w:val="300"/>
        </w:trPr>
        <w:tc>
          <w:tcPr>
            <w:tcW w:w="567" w:type="dxa"/>
            <w:shd w:val="clear" w:color="000000" w:fill="FFFFFF"/>
            <w:noWrap/>
            <w:vAlign w:val="bottom"/>
            <w:hideMark/>
          </w:tcPr>
          <w:p w14:paraId="5394A822"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99</w:t>
            </w:r>
          </w:p>
        </w:tc>
        <w:tc>
          <w:tcPr>
            <w:tcW w:w="8261" w:type="dxa"/>
            <w:shd w:val="clear" w:color="000000" w:fill="FFFFFF"/>
            <w:vAlign w:val="center"/>
            <w:hideMark/>
          </w:tcPr>
          <w:p w14:paraId="0903025D"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Triatlón de Guatemala</w:t>
            </w:r>
          </w:p>
        </w:tc>
      </w:tr>
      <w:tr w:rsidR="00207262" w:rsidRPr="003D4713" w14:paraId="7787FAEB" w14:textId="77777777" w:rsidTr="005113F8">
        <w:trPr>
          <w:trHeight w:val="300"/>
        </w:trPr>
        <w:tc>
          <w:tcPr>
            <w:tcW w:w="567" w:type="dxa"/>
            <w:shd w:val="clear" w:color="000000" w:fill="FFFFFF"/>
            <w:noWrap/>
            <w:vAlign w:val="bottom"/>
            <w:hideMark/>
          </w:tcPr>
          <w:p w14:paraId="2F6B406E"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100</w:t>
            </w:r>
          </w:p>
        </w:tc>
        <w:tc>
          <w:tcPr>
            <w:tcW w:w="8261" w:type="dxa"/>
            <w:shd w:val="clear" w:color="000000" w:fill="FFFFFF"/>
            <w:vAlign w:val="center"/>
            <w:hideMark/>
          </w:tcPr>
          <w:p w14:paraId="40938CA9"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Federación Nacional de Voleibol de Guatemala</w:t>
            </w:r>
          </w:p>
        </w:tc>
      </w:tr>
      <w:tr w:rsidR="00207262" w:rsidRPr="003D4713" w14:paraId="699352E9" w14:textId="77777777" w:rsidTr="005113F8">
        <w:trPr>
          <w:trHeight w:val="300"/>
        </w:trPr>
        <w:tc>
          <w:tcPr>
            <w:tcW w:w="567" w:type="dxa"/>
            <w:shd w:val="clear" w:color="000000" w:fill="FFFFFF"/>
            <w:noWrap/>
            <w:vAlign w:val="bottom"/>
            <w:hideMark/>
          </w:tcPr>
          <w:p w14:paraId="36B20D2C"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101</w:t>
            </w:r>
          </w:p>
        </w:tc>
        <w:tc>
          <w:tcPr>
            <w:tcW w:w="8261" w:type="dxa"/>
            <w:shd w:val="clear" w:color="000000" w:fill="FFFFFF"/>
            <w:noWrap/>
            <w:vAlign w:val="center"/>
            <w:hideMark/>
          </w:tcPr>
          <w:p w14:paraId="67B017F0" w14:textId="77777777" w:rsidR="003D4713" w:rsidRPr="003D4713" w:rsidRDefault="003D4713" w:rsidP="003D4713">
            <w:pPr>
              <w:spacing w:after="0" w:line="240" w:lineRule="auto"/>
              <w:jc w:val="both"/>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Asociación Nacional de Softbol.</w:t>
            </w:r>
          </w:p>
        </w:tc>
      </w:tr>
      <w:tr w:rsidR="00207262" w:rsidRPr="003D4713" w14:paraId="2DEE28F9" w14:textId="77777777" w:rsidTr="005113F8">
        <w:trPr>
          <w:trHeight w:val="300"/>
        </w:trPr>
        <w:tc>
          <w:tcPr>
            <w:tcW w:w="567" w:type="dxa"/>
            <w:shd w:val="clear" w:color="000000" w:fill="FFFFFF"/>
            <w:noWrap/>
            <w:vAlign w:val="bottom"/>
            <w:hideMark/>
          </w:tcPr>
          <w:p w14:paraId="53E0B718"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102</w:t>
            </w:r>
          </w:p>
        </w:tc>
        <w:tc>
          <w:tcPr>
            <w:tcW w:w="8261" w:type="dxa"/>
            <w:shd w:val="clear" w:color="000000" w:fill="FFFFFF"/>
            <w:noWrap/>
            <w:vAlign w:val="center"/>
            <w:hideMark/>
          </w:tcPr>
          <w:p w14:paraId="6EDCF69F" w14:textId="77777777" w:rsidR="003D4713" w:rsidRPr="003D4713" w:rsidRDefault="003D4713" w:rsidP="003D4713">
            <w:pPr>
              <w:spacing w:after="0" w:line="240" w:lineRule="auto"/>
              <w:jc w:val="both"/>
              <w:rPr>
                <w:rFonts w:ascii="Symbol" w:eastAsia="Times New Roman" w:hAnsi="Symbol" w:cs="Times New Roman"/>
                <w:color w:val="222222"/>
                <w:sz w:val="20"/>
                <w:szCs w:val="20"/>
                <w:lang w:eastAsia="es-GT"/>
              </w:rPr>
            </w:pPr>
            <w:r w:rsidRPr="003D4713">
              <w:rPr>
                <w:rFonts w:ascii="Times New Roman" w:eastAsia="Times New Roman" w:hAnsi="Times New Roman" w:cs="Times New Roman"/>
                <w:color w:val="222222"/>
                <w:sz w:val="14"/>
                <w:szCs w:val="14"/>
                <w:lang w:eastAsia="es-GT"/>
              </w:rPr>
              <w:t xml:space="preserve"> </w:t>
            </w:r>
            <w:r w:rsidRPr="003D4713">
              <w:rPr>
                <w:rFonts w:ascii="Arial" w:eastAsia="Times New Roman" w:hAnsi="Arial" w:cs="Arial"/>
                <w:color w:val="222222"/>
                <w:sz w:val="21"/>
                <w:szCs w:val="21"/>
                <w:lang w:eastAsia="es-GT"/>
              </w:rPr>
              <w:t>Asociación Nacional de Squash.</w:t>
            </w:r>
          </w:p>
        </w:tc>
      </w:tr>
      <w:tr w:rsidR="00207262" w:rsidRPr="003D4713" w14:paraId="77F2FEFB" w14:textId="77777777" w:rsidTr="005113F8">
        <w:trPr>
          <w:trHeight w:val="300"/>
        </w:trPr>
        <w:tc>
          <w:tcPr>
            <w:tcW w:w="567" w:type="dxa"/>
            <w:shd w:val="clear" w:color="000000" w:fill="FFFFFF"/>
            <w:noWrap/>
            <w:vAlign w:val="bottom"/>
            <w:hideMark/>
          </w:tcPr>
          <w:p w14:paraId="24A6B200" w14:textId="77777777" w:rsidR="003D4713" w:rsidRPr="003D4713" w:rsidRDefault="003D4713" w:rsidP="003D4713">
            <w:pPr>
              <w:spacing w:after="0" w:line="240" w:lineRule="auto"/>
              <w:jc w:val="center"/>
              <w:rPr>
                <w:rFonts w:ascii="Arial" w:eastAsia="Times New Roman" w:hAnsi="Arial" w:cs="Arial"/>
                <w:sz w:val="20"/>
                <w:szCs w:val="20"/>
                <w:lang w:eastAsia="es-GT"/>
              </w:rPr>
            </w:pPr>
            <w:r w:rsidRPr="003D4713">
              <w:rPr>
                <w:rFonts w:ascii="Arial" w:eastAsia="Times New Roman" w:hAnsi="Arial" w:cs="Arial"/>
                <w:sz w:val="20"/>
                <w:szCs w:val="20"/>
                <w:lang w:eastAsia="es-GT"/>
              </w:rPr>
              <w:t>103</w:t>
            </w:r>
          </w:p>
        </w:tc>
        <w:tc>
          <w:tcPr>
            <w:tcW w:w="8261" w:type="dxa"/>
            <w:shd w:val="clear" w:color="000000" w:fill="FFFFFF"/>
            <w:noWrap/>
            <w:vAlign w:val="bottom"/>
            <w:hideMark/>
          </w:tcPr>
          <w:p w14:paraId="2A075FCD" w14:textId="77777777" w:rsidR="003D4713" w:rsidRPr="003D4713" w:rsidRDefault="003D4713" w:rsidP="003D4713">
            <w:pPr>
              <w:spacing w:after="0" w:line="240" w:lineRule="auto"/>
              <w:rPr>
                <w:rFonts w:ascii="Arial" w:eastAsia="Times New Roman" w:hAnsi="Arial" w:cs="Arial"/>
                <w:color w:val="222222"/>
                <w:sz w:val="21"/>
                <w:szCs w:val="21"/>
                <w:lang w:eastAsia="es-GT"/>
              </w:rPr>
            </w:pPr>
            <w:r w:rsidRPr="003D4713">
              <w:rPr>
                <w:rFonts w:ascii="Arial" w:eastAsia="Times New Roman" w:hAnsi="Arial" w:cs="Arial"/>
                <w:color w:val="222222"/>
                <w:sz w:val="21"/>
                <w:szCs w:val="21"/>
                <w:lang w:eastAsia="es-GT"/>
              </w:rPr>
              <w:t>Asociación Nacional de Pentatlón Moderno</w:t>
            </w:r>
          </w:p>
        </w:tc>
      </w:tr>
    </w:tbl>
    <w:p w14:paraId="105CE98C" w14:textId="61567C94" w:rsidR="003D4713" w:rsidRPr="005113F8" w:rsidRDefault="009C5A21" w:rsidP="00153122">
      <w:pPr>
        <w:spacing w:after="0" w:line="360" w:lineRule="auto"/>
        <w:rPr>
          <w:sz w:val="18"/>
          <w:szCs w:val="18"/>
        </w:rPr>
      </w:pPr>
      <w:r>
        <w:rPr>
          <w:sz w:val="18"/>
          <w:szCs w:val="18"/>
        </w:rPr>
        <w:t>*</w:t>
      </w:r>
      <w:r w:rsidR="005113F8" w:rsidRPr="005113F8">
        <w:rPr>
          <w:sz w:val="18"/>
          <w:szCs w:val="18"/>
        </w:rPr>
        <w:t xml:space="preserve">SEPAZ </w:t>
      </w:r>
      <w:r w:rsidR="005113F8">
        <w:rPr>
          <w:sz w:val="18"/>
          <w:szCs w:val="18"/>
        </w:rPr>
        <w:t>dejo de funcionar, en</w:t>
      </w:r>
      <w:r w:rsidR="005113F8" w:rsidRPr="005113F8">
        <w:rPr>
          <w:sz w:val="18"/>
          <w:szCs w:val="18"/>
        </w:rPr>
        <w:t xml:space="preserve"> su lugar se brindó asesoría a COPADEH</w:t>
      </w:r>
    </w:p>
    <w:sectPr w:rsidR="003D4713" w:rsidRPr="005113F8">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9E9C" w14:textId="77777777" w:rsidR="005B7633" w:rsidRDefault="005B7633" w:rsidP="005C15FA">
      <w:pPr>
        <w:spacing w:after="0" w:line="240" w:lineRule="auto"/>
      </w:pPr>
      <w:r>
        <w:separator/>
      </w:r>
    </w:p>
  </w:endnote>
  <w:endnote w:type="continuationSeparator" w:id="0">
    <w:p w14:paraId="2F6FED63" w14:textId="77777777" w:rsidR="005B7633" w:rsidRDefault="005B7633" w:rsidP="005C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helas">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111396"/>
      <w:docPartObj>
        <w:docPartGallery w:val="Page Numbers (Bottom of Page)"/>
        <w:docPartUnique/>
      </w:docPartObj>
    </w:sdtPr>
    <w:sdtEndPr/>
    <w:sdtContent>
      <w:p w14:paraId="2A8FD325" w14:textId="05075681" w:rsidR="00FE19A8" w:rsidRDefault="00FE19A8">
        <w:pPr>
          <w:pStyle w:val="Piedepgina"/>
          <w:jc w:val="right"/>
        </w:pPr>
        <w:r>
          <w:fldChar w:fldCharType="begin"/>
        </w:r>
        <w:r>
          <w:instrText>PAGE   \* MERGEFORMAT</w:instrText>
        </w:r>
        <w:r>
          <w:fldChar w:fldCharType="separate"/>
        </w:r>
        <w:r w:rsidR="00CB2885" w:rsidRPr="00CB2885">
          <w:rPr>
            <w:noProof/>
            <w:lang w:val="es-ES"/>
          </w:rPr>
          <w:t>27</w:t>
        </w:r>
        <w:r>
          <w:fldChar w:fldCharType="end"/>
        </w:r>
      </w:p>
    </w:sdtContent>
  </w:sdt>
  <w:p w14:paraId="604C4861" w14:textId="77777777" w:rsidR="00FE19A8" w:rsidRDefault="00FE19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4D7A" w14:textId="77777777" w:rsidR="005B7633" w:rsidRDefault="005B7633" w:rsidP="005C15FA">
      <w:pPr>
        <w:spacing w:after="0" w:line="240" w:lineRule="auto"/>
      </w:pPr>
      <w:r>
        <w:separator/>
      </w:r>
    </w:p>
  </w:footnote>
  <w:footnote w:type="continuationSeparator" w:id="0">
    <w:p w14:paraId="461BB927" w14:textId="77777777" w:rsidR="005B7633" w:rsidRDefault="005B7633" w:rsidP="005C1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5115"/>
    <w:multiLevelType w:val="hybridMultilevel"/>
    <w:tmpl w:val="C958B748"/>
    <w:lvl w:ilvl="0" w:tplc="100A0011">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0762838"/>
    <w:multiLevelType w:val="hybridMultilevel"/>
    <w:tmpl w:val="33D008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5BC722B"/>
    <w:multiLevelType w:val="hybridMultilevel"/>
    <w:tmpl w:val="4840452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7D46863"/>
    <w:multiLevelType w:val="hybridMultilevel"/>
    <w:tmpl w:val="F8F43B3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F1C27B4"/>
    <w:multiLevelType w:val="hybridMultilevel"/>
    <w:tmpl w:val="8DCE89C6"/>
    <w:lvl w:ilvl="0" w:tplc="100A0011">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14162C3"/>
    <w:multiLevelType w:val="hybridMultilevel"/>
    <w:tmpl w:val="2B5CB65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21AD18F5"/>
    <w:multiLevelType w:val="hybridMultilevel"/>
    <w:tmpl w:val="A4E8C65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F534F28"/>
    <w:multiLevelType w:val="hybridMultilevel"/>
    <w:tmpl w:val="EF48202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3E230B85"/>
    <w:multiLevelType w:val="hybridMultilevel"/>
    <w:tmpl w:val="2F74E87A"/>
    <w:lvl w:ilvl="0" w:tplc="100A0001">
      <w:start w:val="1"/>
      <w:numFmt w:val="bullet"/>
      <w:lvlText w:val=""/>
      <w:lvlJc w:val="left"/>
      <w:pPr>
        <w:ind w:left="765" w:hanging="360"/>
      </w:pPr>
      <w:rPr>
        <w:rFonts w:ascii="Symbol" w:hAnsi="Symbol" w:hint="default"/>
      </w:rPr>
    </w:lvl>
    <w:lvl w:ilvl="1" w:tplc="100A0003" w:tentative="1">
      <w:start w:val="1"/>
      <w:numFmt w:val="bullet"/>
      <w:lvlText w:val="o"/>
      <w:lvlJc w:val="left"/>
      <w:pPr>
        <w:ind w:left="1485" w:hanging="360"/>
      </w:pPr>
      <w:rPr>
        <w:rFonts w:ascii="Courier New" w:hAnsi="Courier New" w:cs="Courier New" w:hint="default"/>
      </w:rPr>
    </w:lvl>
    <w:lvl w:ilvl="2" w:tplc="100A0005" w:tentative="1">
      <w:start w:val="1"/>
      <w:numFmt w:val="bullet"/>
      <w:lvlText w:val=""/>
      <w:lvlJc w:val="left"/>
      <w:pPr>
        <w:ind w:left="2205" w:hanging="360"/>
      </w:pPr>
      <w:rPr>
        <w:rFonts w:ascii="Wingdings" w:hAnsi="Wingdings" w:hint="default"/>
      </w:rPr>
    </w:lvl>
    <w:lvl w:ilvl="3" w:tplc="100A0001" w:tentative="1">
      <w:start w:val="1"/>
      <w:numFmt w:val="bullet"/>
      <w:lvlText w:val=""/>
      <w:lvlJc w:val="left"/>
      <w:pPr>
        <w:ind w:left="2925" w:hanging="360"/>
      </w:pPr>
      <w:rPr>
        <w:rFonts w:ascii="Symbol" w:hAnsi="Symbol" w:hint="default"/>
      </w:rPr>
    </w:lvl>
    <w:lvl w:ilvl="4" w:tplc="100A0003" w:tentative="1">
      <w:start w:val="1"/>
      <w:numFmt w:val="bullet"/>
      <w:lvlText w:val="o"/>
      <w:lvlJc w:val="left"/>
      <w:pPr>
        <w:ind w:left="3645" w:hanging="360"/>
      </w:pPr>
      <w:rPr>
        <w:rFonts w:ascii="Courier New" w:hAnsi="Courier New" w:cs="Courier New" w:hint="default"/>
      </w:rPr>
    </w:lvl>
    <w:lvl w:ilvl="5" w:tplc="100A0005" w:tentative="1">
      <w:start w:val="1"/>
      <w:numFmt w:val="bullet"/>
      <w:lvlText w:val=""/>
      <w:lvlJc w:val="left"/>
      <w:pPr>
        <w:ind w:left="4365" w:hanging="360"/>
      </w:pPr>
      <w:rPr>
        <w:rFonts w:ascii="Wingdings" w:hAnsi="Wingdings" w:hint="default"/>
      </w:rPr>
    </w:lvl>
    <w:lvl w:ilvl="6" w:tplc="100A0001" w:tentative="1">
      <w:start w:val="1"/>
      <w:numFmt w:val="bullet"/>
      <w:lvlText w:val=""/>
      <w:lvlJc w:val="left"/>
      <w:pPr>
        <w:ind w:left="5085" w:hanging="360"/>
      </w:pPr>
      <w:rPr>
        <w:rFonts w:ascii="Symbol" w:hAnsi="Symbol" w:hint="default"/>
      </w:rPr>
    </w:lvl>
    <w:lvl w:ilvl="7" w:tplc="100A0003" w:tentative="1">
      <w:start w:val="1"/>
      <w:numFmt w:val="bullet"/>
      <w:lvlText w:val="o"/>
      <w:lvlJc w:val="left"/>
      <w:pPr>
        <w:ind w:left="5805" w:hanging="360"/>
      </w:pPr>
      <w:rPr>
        <w:rFonts w:ascii="Courier New" w:hAnsi="Courier New" w:cs="Courier New" w:hint="default"/>
      </w:rPr>
    </w:lvl>
    <w:lvl w:ilvl="8" w:tplc="100A0005" w:tentative="1">
      <w:start w:val="1"/>
      <w:numFmt w:val="bullet"/>
      <w:lvlText w:val=""/>
      <w:lvlJc w:val="left"/>
      <w:pPr>
        <w:ind w:left="6525" w:hanging="360"/>
      </w:pPr>
      <w:rPr>
        <w:rFonts w:ascii="Wingdings" w:hAnsi="Wingdings" w:hint="default"/>
      </w:rPr>
    </w:lvl>
  </w:abstractNum>
  <w:abstractNum w:abstractNumId="9" w15:restartNumberingAfterBreak="0">
    <w:nsid w:val="42451644"/>
    <w:multiLevelType w:val="hybridMultilevel"/>
    <w:tmpl w:val="D346BF5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53344BE6"/>
    <w:multiLevelType w:val="hybridMultilevel"/>
    <w:tmpl w:val="8774F7CC"/>
    <w:lvl w:ilvl="0" w:tplc="100A000F">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58B3069B"/>
    <w:multiLevelType w:val="hybridMultilevel"/>
    <w:tmpl w:val="5028A27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C724C05"/>
    <w:multiLevelType w:val="hybridMultilevel"/>
    <w:tmpl w:val="4B3EE56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6B113528"/>
    <w:multiLevelType w:val="multilevel"/>
    <w:tmpl w:val="F90A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73D1A"/>
    <w:multiLevelType w:val="hybridMultilevel"/>
    <w:tmpl w:val="AD644266"/>
    <w:lvl w:ilvl="0" w:tplc="BD005A80">
      <w:numFmt w:val="bullet"/>
      <w:lvlText w:val=""/>
      <w:lvlJc w:val="left"/>
      <w:pPr>
        <w:ind w:left="1160" w:hanging="360"/>
      </w:pPr>
      <w:rPr>
        <w:rFonts w:ascii="Symbol" w:eastAsia="Symbol" w:hAnsi="Symbol" w:cs="Symbol" w:hint="default"/>
        <w:color w:val="231F20"/>
        <w:w w:val="100"/>
        <w:sz w:val="24"/>
        <w:szCs w:val="24"/>
        <w:lang w:val="es-ES" w:eastAsia="en-US" w:bidi="ar-SA"/>
      </w:rPr>
    </w:lvl>
    <w:lvl w:ilvl="1" w:tplc="66A8C4D2">
      <w:numFmt w:val="bullet"/>
      <w:lvlText w:val="•"/>
      <w:lvlJc w:val="left"/>
      <w:pPr>
        <w:ind w:left="2064" w:hanging="360"/>
      </w:pPr>
      <w:rPr>
        <w:rFonts w:hint="default"/>
        <w:lang w:val="es-ES" w:eastAsia="en-US" w:bidi="ar-SA"/>
      </w:rPr>
    </w:lvl>
    <w:lvl w:ilvl="2" w:tplc="2BC0AC2A">
      <w:numFmt w:val="bullet"/>
      <w:lvlText w:val="•"/>
      <w:lvlJc w:val="left"/>
      <w:pPr>
        <w:ind w:left="2968" w:hanging="360"/>
      </w:pPr>
      <w:rPr>
        <w:rFonts w:hint="default"/>
        <w:lang w:val="es-ES" w:eastAsia="en-US" w:bidi="ar-SA"/>
      </w:rPr>
    </w:lvl>
    <w:lvl w:ilvl="3" w:tplc="67049EB2">
      <w:numFmt w:val="bullet"/>
      <w:lvlText w:val="•"/>
      <w:lvlJc w:val="left"/>
      <w:pPr>
        <w:ind w:left="3872" w:hanging="360"/>
      </w:pPr>
      <w:rPr>
        <w:rFonts w:hint="default"/>
        <w:lang w:val="es-ES" w:eastAsia="en-US" w:bidi="ar-SA"/>
      </w:rPr>
    </w:lvl>
    <w:lvl w:ilvl="4" w:tplc="957055E0">
      <w:numFmt w:val="bullet"/>
      <w:lvlText w:val="•"/>
      <w:lvlJc w:val="left"/>
      <w:pPr>
        <w:ind w:left="4776" w:hanging="360"/>
      </w:pPr>
      <w:rPr>
        <w:rFonts w:hint="default"/>
        <w:lang w:val="es-ES" w:eastAsia="en-US" w:bidi="ar-SA"/>
      </w:rPr>
    </w:lvl>
    <w:lvl w:ilvl="5" w:tplc="06B001A2">
      <w:numFmt w:val="bullet"/>
      <w:lvlText w:val="•"/>
      <w:lvlJc w:val="left"/>
      <w:pPr>
        <w:ind w:left="5680" w:hanging="360"/>
      </w:pPr>
      <w:rPr>
        <w:rFonts w:hint="default"/>
        <w:lang w:val="es-ES" w:eastAsia="en-US" w:bidi="ar-SA"/>
      </w:rPr>
    </w:lvl>
    <w:lvl w:ilvl="6" w:tplc="22D0D6A4">
      <w:numFmt w:val="bullet"/>
      <w:lvlText w:val="•"/>
      <w:lvlJc w:val="left"/>
      <w:pPr>
        <w:ind w:left="6584" w:hanging="360"/>
      </w:pPr>
      <w:rPr>
        <w:rFonts w:hint="default"/>
        <w:lang w:val="es-ES" w:eastAsia="en-US" w:bidi="ar-SA"/>
      </w:rPr>
    </w:lvl>
    <w:lvl w:ilvl="7" w:tplc="043CEA8E">
      <w:numFmt w:val="bullet"/>
      <w:lvlText w:val="•"/>
      <w:lvlJc w:val="left"/>
      <w:pPr>
        <w:ind w:left="7488" w:hanging="360"/>
      </w:pPr>
      <w:rPr>
        <w:rFonts w:hint="default"/>
        <w:lang w:val="es-ES" w:eastAsia="en-US" w:bidi="ar-SA"/>
      </w:rPr>
    </w:lvl>
    <w:lvl w:ilvl="8" w:tplc="10247850">
      <w:numFmt w:val="bullet"/>
      <w:lvlText w:val="•"/>
      <w:lvlJc w:val="left"/>
      <w:pPr>
        <w:ind w:left="8392" w:hanging="360"/>
      </w:pPr>
      <w:rPr>
        <w:rFonts w:hint="default"/>
        <w:lang w:val="es-ES" w:eastAsia="en-US" w:bidi="ar-SA"/>
      </w:rPr>
    </w:lvl>
  </w:abstractNum>
  <w:abstractNum w:abstractNumId="15" w15:restartNumberingAfterBreak="0">
    <w:nsid w:val="787B45E7"/>
    <w:multiLevelType w:val="hybridMultilevel"/>
    <w:tmpl w:val="F6944A48"/>
    <w:lvl w:ilvl="0" w:tplc="100A0001">
      <w:start w:val="1"/>
      <w:numFmt w:val="bullet"/>
      <w:lvlText w:val=""/>
      <w:lvlJc w:val="left"/>
      <w:pPr>
        <w:ind w:left="3600" w:hanging="360"/>
      </w:pPr>
      <w:rPr>
        <w:rFonts w:ascii="Symbol" w:hAnsi="Symbol" w:hint="default"/>
      </w:rPr>
    </w:lvl>
    <w:lvl w:ilvl="1" w:tplc="100A0003" w:tentative="1">
      <w:start w:val="1"/>
      <w:numFmt w:val="bullet"/>
      <w:lvlText w:val="o"/>
      <w:lvlJc w:val="left"/>
      <w:pPr>
        <w:ind w:left="4320" w:hanging="360"/>
      </w:pPr>
      <w:rPr>
        <w:rFonts w:ascii="Courier New" w:hAnsi="Courier New" w:cs="Courier New" w:hint="default"/>
      </w:rPr>
    </w:lvl>
    <w:lvl w:ilvl="2" w:tplc="100A0005" w:tentative="1">
      <w:start w:val="1"/>
      <w:numFmt w:val="bullet"/>
      <w:lvlText w:val=""/>
      <w:lvlJc w:val="left"/>
      <w:pPr>
        <w:ind w:left="5040" w:hanging="360"/>
      </w:pPr>
      <w:rPr>
        <w:rFonts w:ascii="Wingdings" w:hAnsi="Wingdings" w:hint="default"/>
      </w:rPr>
    </w:lvl>
    <w:lvl w:ilvl="3" w:tplc="100A0001" w:tentative="1">
      <w:start w:val="1"/>
      <w:numFmt w:val="bullet"/>
      <w:lvlText w:val=""/>
      <w:lvlJc w:val="left"/>
      <w:pPr>
        <w:ind w:left="5760" w:hanging="360"/>
      </w:pPr>
      <w:rPr>
        <w:rFonts w:ascii="Symbol" w:hAnsi="Symbol" w:hint="default"/>
      </w:rPr>
    </w:lvl>
    <w:lvl w:ilvl="4" w:tplc="100A0003" w:tentative="1">
      <w:start w:val="1"/>
      <w:numFmt w:val="bullet"/>
      <w:lvlText w:val="o"/>
      <w:lvlJc w:val="left"/>
      <w:pPr>
        <w:ind w:left="6480" w:hanging="360"/>
      </w:pPr>
      <w:rPr>
        <w:rFonts w:ascii="Courier New" w:hAnsi="Courier New" w:cs="Courier New" w:hint="default"/>
      </w:rPr>
    </w:lvl>
    <w:lvl w:ilvl="5" w:tplc="100A0005" w:tentative="1">
      <w:start w:val="1"/>
      <w:numFmt w:val="bullet"/>
      <w:lvlText w:val=""/>
      <w:lvlJc w:val="left"/>
      <w:pPr>
        <w:ind w:left="7200" w:hanging="360"/>
      </w:pPr>
      <w:rPr>
        <w:rFonts w:ascii="Wingdings" w:hAnsi="Wingdings" w:hint="default"/>
      </w:rPr>
    </w:lvl>
    <w:lvl w:ilvl="6" w:tplc="100A0001" w:tentative="1">
      <w:start w:val="1"/>
      <w:numFmt w:val="bullet"/>
      <w:lvlText w:val=""/>
      <w:lvlJc w:val="left"/>
      <w:pPr>
        <w:ind w:left="7920" w:hanging="360"/>
      </w:pPr>
      <w:rPr>
        <w:rFonts w:ascii="Symbol" w:hAnsi="Symbol" w:hint="default"/>
      </w:rPr>
    </w:lvl>
    <w:lvl w:ilvl="7" w:tplc="100A0003" w:tentative="1">
      <w:start w:val="1"/>
      <w:numFmt w:val="bullet"/>
      <w:lvlText w:val="o"/>
      <w:lvlJc w:val="left"/>
      <w:pPr>
        <w:ind w:left="8640" w:hanging="360"/>
      </w:pPr>
      <w:rPr>
        <w:rFonts w:ascii="Courier New" w:hAnsi="Courier New" w:cs="Courier New" w:hint="default"/>
      </w:rPr>
    </w:lvl>
    <w:lvl w:ilvl="8" w:tplc="100A0005" w:tentative="1">
      <w:start w:val="1"/>
      <w:numFmt w:val="bullet"/>
      <w:lvlText w:val=""/>
      <w:lvlJc w:val="left"/>
      <w:pPr>
        <w:ind w:left="9360" w:hanging="360"/>
      </w:pPr>
      <w:rPr>
        <w:rFonts w:ascii="Wingdings" w:hAnsi="Wingdings" w:hint="default"/>
      </w:rPr>
    </w:lvl>
  </w:abstractNum>
  <w:abstractNum w:abstractNumId="16" w15:restartNumberingAfterBreak="0">
    <w:nsid w:val="7B356776"/>
    <w:multiLevelType w:val="hybridMultilevel"/>
    <w:tmpl w:val="12468B9E"/>
    <w:lvl w:ilvl="0" w:tplc="E54C58A4">
      <w:start w:val="1"/>
      <w:numFmt w:val="decimal"/>
      <w:lvlText w:val="%1."/>
      <w:lvlJc w:val="left"/>
      <w:pPr>
        <w:ind w:left="1065" w:hanging="360"/>
      </w:pPr>
      <w:rPr>
        <w:rFonts w:hint="default"/>
      </w:rPr>
    </w:lvl>
    <w:lvl w:ilvl="1" w:tplc="100A0019" w:tentative="1">
      <w:start w:val="1"/>
      <w:numFmt w:val="lowerLetter"/>
      <w:lvlText w:val="%2."/>
      <w:lvlJc w:val="left"/>
      <w:pPr>
        <w:ind w:left="1785" w:hanging="360"/>
      </w:pPr>
    </w:lvl>
    <w:lvl w:ilvl="2" w:tplc="100A001B" w:tentative="1">
      <w:start w:val="1"/>
      <w:numFmt w:val="lowerRoman"/>
      <w:lvlText w:val="%3."/>
      <w:lvlJc w:val="right"/>
      <w:pPr>
        <w:ind w:left="2505" w:hanging="180"/>
      </w:pPr>
    </w:lvl>
    <w:lvl w:ilvl="3" w:tplc="100A000F" w:tentative="1">
      <w:start w:val="1"/>
      <w:numFmt w:val="decimal"/>
      <w:lvlText w:val="%4."/>
      <w:lvlJc w:val="left"/>
      <w:pPr>
        <w:ind w:left="3225" w:hanging="360"/>
      </w:pPr>
    </w:lvl>
    <w:lvl w:ilvl="4" w:tplc="100A0019" w:tentative="1">
      <w:start w:val="1"/>
      <w:numFmt w:val="lowerLetter"/>
      <w:lvlText w:val="%5."/>
      <w:lvlJc w:val="left"/>
      <w:pPr>
        <w:ind w:left="3945" w:hanging="360"/>
      </w:pPr>
    </w:lvl>
    <w:lvl w:ilvl="5" w:tplc="100A001B" w:tentative="1">
      <w:start w:val="1"/>
      <w:numFmt w:val="lowerRoman"/>
      <w:lvlText w:val="%6."/>
      <w:lvlJc w:val="right"/>
      <w:pPr>
        <w:ind w:left="4665" w:hanging="180"/>
      </w:pPr>
    </w:lvl>
    <w:lvl w:ilvl="6" w:tplc="100A000F" w:tentative="1">
      <w:start w:val="1"/>
      <w:numFmt w:val="decimal"/>
      <w:lvlText w:val="%7."/>
      <w:lvlJc w:val="left"/>
      <w:pPr>
        <w:ind w:left="5385" w:hanging="360"/>
      </w:pPr>
    </w:lvl>
    <w:lvl w:ilvl="7" w:tplc="100A0019" w:tentative="1">
      <w:start w:val="1"/>
      <w:numFmt w:val="lowerLetter"/>
      <w:lvlText w:val="%8."/>
      <w:lvlJc w:val="left"/>
      <w:pPr>
        <w:ind w:left="6105" w:hanging="360"/>
      </w:pPr>
    </w:lvl>
    <w:lvl w:ilvl="8" w:tplc="100A001B" w:tentative="1">
      <w:start w:val="1"/>
      <w:numFmt w:val="lowerRoman"/>
      <w:lvlText w:val="%9."/>
      <w:lvlJc w:val="right"/>
      <w:pPr>
        <w:ind w:left="6825" w:hanging="180"/>
      </w:pPr>
    </w:lvl>
  </w:abstractNum>
  <w:num w:numId="1">
    <w:abstractNumId w:val="12"/>
  </w:num>
  <w:num w:numId="2">
    <w:abstractNumId w:val="5"/>
  </w:num>
  <w:num w:numId="3">
    <w:abstractNumId w:val="14"/>
  </w:num>
  <w:num w:numId="4">
    <w:abstractNumId w:val="10"/>
  </w:num>
  <w:num w:numId="5">
    <w:abstractNumId w:val="4"/>
  </w:num>
  <w:num w:numId="6">
    <w:abstractNumId w:val="0"/>
  </w:num>
  <w:num w:numId="7">
    <w:abstractNumId w:val="6"/>
  </w:num>
  <w:num w:numId="8">
    <w:abstractNumId w:val="9"/>
  </w:num>
  <w:num w:numId="9">
    <w:abstractNumId w:val="2"/>
  </w:num>
  <w:num w:numId="10">
    <w:abstractNumId w:val="8"/>
  </w:num>
  <w:num w:numId="11">
    <w:abstractNumId w:val="16"/>
  </w:num>
  <w:num w:numId="12">
    <w:abstractNumId w:val="13"/>
  </w:num>
  <w:num w:numId="13">
    <w:abstractNumId w:val="15"/>
  </w:num>
  <w:num w:numId="14">
    <w:abstractNumId w:val="3"/>
  </w:num>
  <w:num w:numId="15">
    <w:abstractNumId w:val="11"/>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2B"/>
    <w:rsid w:val="0001064C"/>
    <w:rsid w:val="00011A61"/>
    <w:rsid w:val="0001507B"/>
    <w:rsid w:val="00015E77"/>
    <w:rsid w:val="000179EF"/>
    <w:rsid w:val="00022EAC"/>
    <w:rsid w:val="00024103"/>
    <w:rsid w:val="000269E0"/>
    <w:rsid w:val="00032B56"/>
    <w:rsid w:val="0004189B"/>
    <w:rsid w:val="00042C4A"/>
    <w:rsid w:val="00063F2F"/>
    <w:rsid w:val="00064FC8"/>
    <w:rsid w:val="000733A9"/>
    <w:rsid w:val="00073CA5"/>
    <w:rsid w:val="00080E33"/>
    <w:rsid w:val="00082453"/>
    <w:rsid w:val="00090808"/>
    <w:rsid w:val="00090B30"/>
    <w:rsid w:val="00095B50"/>
    <w:rsid w:val="00095DF2"/>
    <w:rsid w:val="000A22E5"/>
    <w:rsid w:val="000A635F"/>
    <w:rsid w:val="000A7A18"/>
    <w:rsid w:val="000A7F0B"/>
    <w:rsid w:val="000B013B"/>
    <w:rsid w:val="000B3B30"/>
    <w:rsid w:val="000B7170"/>
    <w:rsid w:val="000B7673"/>
    <w:rsid w:val="000B77D6"/>
    <w:rsid w:val="000C67D8"/>
    <w:rsid w:val="000E1A9F"/>
    <w:rsid w:val="000E28EF"/>
    <w:rsid w:val="000E4A53"/>
    <w:rsid w:val="000E4EB3"/>
    <w:rsid w:val="000E5611"/>
    <w:rsid w:val="000E6487"/>
    <w:rsid w:val="000E6AD4"/>
    <w:rsid w:val="000F043C"/>
    <w:rsid w:val="000F0442"/>
    <w:rsid w:val="000F19FB"/>
    <w:rsid w:val="000F20FA"/>
    <w:rsid w:val="000F55D7"/>
    <w:rsid w:val="000F6A18"/>
    <w:rsid w:val="000F78E5"/>
    <w:rsid w:val="001018F4"/>
    <w:rsid w:val="00103BFE"/>
    <w:rsid w:val="00115060"/>
    <w:rsid w:val="00124E1C"/>
    <w:rsid w:val="00130089"/>
    <w:rsid w:val="00141E19"/>
    <w:rsid w:val="001450E4"/>
    <w:rsid w:val="00151596"/>
    <w:rsid w:val="00153122"/>
    <w:rsid w:val="00154169"/>
    <w:rsid w:val="00154DA6"/>
    <w:rsid w:val="00161927"/>
    <w:rsid w:val="00161F4A"/>
    <w:rsid w:val="00162D0B"/>
    <w:rsid w:val="0016330F"/>
    <w:rsid w:val="00164D73"/>
    <w:rsid w:val="00164DAD"/>
    <w:rsid w:val="001748B7"/>
    <w:rsid w:val="0017597C"/>
    <w:rsid w:val="001847BF"/>
    <w:rsid w:val="00184FFD"/>
    <w:rsid w:val="00191DE3"/>
    <w:rsid w:val="001A40EA"/>
    <w:rsid w:val="001B0009"/>
    <w:rsid w:val="001B3396"/>
    <w:rsid w:val="001B5C20"/>
    <w:rsid w:val="001B7E72"/>
    <w:rsid w:val="001C37D0"/>
    <w:rsid w:val="001D02CE"/>
    <w:rsid w:val="001D0939"/>
    <w:rsid w:val="001D421D"/>
    <w:rsid w:val="001D5EAC"/>
    <w:rsid w:val="001D6E57"/>
    <w:rsid w:val="001E0720"/>
    <w:rsid w:val="001F212C"/>
    <w:rsid w:val="001F4104"/>
    <w:rsid w:val="0020441B"/>
    <w:rsid w:val="00205B92"/>
    <w:rsid w:val="00207262"/>
    <w:rsid w:val="00215631"/>
    <w:rsid w:val="0021658C"/>
    <w:rsid w:val="002212EE"/>
    <w:rsid w:val="00223869"/>
    <w:rsid w:val="0023366E"/>
    <w:rsid w:val="00235CC9"/>
    <w:rsid w:val="00235ECC"/>
    <w:rsid w:val="00241AAE"/>
    <w:rsid w:val="00243B1A"/>
    <w:rsid w:val="00243C00"/>
    <w:rsid w:val="0024496E"/>
    <w:rsid w:val="00246E7A"/>
    <w:rsid w:val="0025011A"/>
    <w:rsid w:val="002550B5"/>
    <w:rsid w:val="002568F6"/>
    <w:rsid w:val="00264AC0"/>
    <w:rsid w:val="002716DC"/>
    <w:rsid w:val="00273084"/>
    <w:rsid w:val="00273D51"/>
    <w:rsid w:val="00275182"/>
    <w:rsid w:val="00275BB0"/>
    <w:rsid w:val="0028117D"/>
    <w:rsid w:val="00281813"/>
    <w:rsid w:val="0028300D"/>
    <w:rsid w:val="00285D72"/>
    <w:rsid w:val="002863EB"/>
    <w:rsid w:val="0029075E"/>
    <w:rsid w:val="002928B5"/>
    <w:rsid w:val="002A015D"/>
    <w:rsid w:val="002A3678"/>
    <w:rsid w:val="002A71C1"/>
    <w:rsid w:val="002B7E61"/>
    <w:rsid w:val="002C06CE"/>
    <w:rsid w:val="002C459E"/>
    <w:rsid w:val="002C4DB0"/>
    <w:rsid w:val="002C7EA3"/>
    <w:rsid w:val="002D1F23"/>
    <w:rsid w:val="002E3F0E"/>
    <w:rsid w:val="002E40EB"/>
    <w:rsid w:val="002E6437"/>
    <w:rsid w:val="002F0837"/>
    <w:rsid w:val="002F7C00"/>
    <w:rsid w:val="0030294B"/>
    <w:rsid w:val="003034E2"/>
    <w:rsid w:val="003068BA"/>
    <w:rsid w:val="00307804"/>
    <w:rsid w:val="00307B72"/>
    <w:rsid w:val="00307CBA"/>
    <w:rsid w:val="003177D8"/>
    <w:rsid w:val="0032265D"/>
    <w:rsid w:val="0032623C"/>
    <w:rsid w:val="00326320"/>
    <w:rsid w:val="0033231F"/>
    <w:rsid w:val="00333AD5"/>
    <w:rsid w:val="00337B99"/>
    <w:rsid w:val="00343BC7"/>
    <w:rsid w:val="003575A2"/>
    <w:rsid w:val="00362B6F"/>
    <w:rsid w:val="0036360A"/>
    <w:rsid w:val="00363765"/>
    <w:rsid w:val="003640D9"/>
    <w:rsid w:val="00364B85"/>
    <w:rsid w:val="003667FB"/>
    <w:rsid w:val="00366ED0"/>
    <w:rsid w:val="00367A26"/>
    <w:rsid w:val="00374115"/>
    <w:rsid w:val="0037446B"/>
    <w:rsid w:val="00374A0B"/>
    <w:rsid w:val="0038110F"/>
    <w:rsid w:val="00383694"/>
    <w:rsid w:val="00386D5A"/>
    <w:rsid w:val="00387A2F"/>
    <w:rsid w:val="003938AF"/>
    <w:rsid w:val="00396D2D"/>
    <w:rsid w:val="003A684D"/>
    <w:rsid w:val="003B78E5"/>
    <w:rsid w:val="003C1A68"/>
    <w:rsid w:val="003C264F"/>
    <w:rsid w:val="003C71B3"/>
    <w:rsid w:val="003D0BCF"/>
    <w:rsid w:val="003D0ED8"/>
    <w:rsid w:val="003D1FD0"/>
    <w:rsid w:val="003D4713"/>
    <w:rsid w:val="003D7346"/>
    <w:rsid w:val="003E0C19"/>
    <w:rsid w:val="003E3F70"/>
    <w:rsid w:val="003E6665"/>
    <w:rsid w:val="003E6DEA"/>
    <w:rsid w:val="003E786B"/>
    <w:rsid w:val="003F145B"/>
    <w:rsid w:val="003F61DC"/>
    <w:rsid w:val="003F695B"/>
    <w:rsid w:val="0040596A"/>
    <w:rsid w:val="00407B46"/>
    <w:rsid w:val="00407C3A"/>
    <w:rsid w:val="00411E33"/>
    <w:rsid w:val="00415207"/>
    <w:rsid w:val="0041714A"/>
    <w:rsid w:val="004220EC"/>
    <w:rsid w:val="004257B4"/>
    <w:rsid w:val="00434C45"/>
    <w:rsid w:val="00440F99"/>
    <w:rsid w:val="00444AA3"/>
    <w:rsid w:val="004523F5"/>
    <w:rsid w:val="004625B3"/>
    <w:rsid w:val="00465ADB"/>
    <w:rsid w:val="00466504"/>
    <w:rsid w:val="0047166D"/>
    <w:rsid w:val="00477454"/>
    <w:rsid w:val="0048334C"/>
    <w:rsid w:val="00483FF0"/>
    <w:rsid w:val="00492549"/>
    <w:rsid w:val="00493129"/>
    <w:rsid w:val="00494309"/>
    <w:rsid w:val="00496A02"/>
    <w:rsid w:val="004A0E81"/>
    <w:rsid w:val="004A5A03"/>
    <w:rsid w:val="004C734B"/>
    <w:rsid w:val="004D26F9"/>
    <w:rsid w:val="004D2811"/>
    <w:rsid w:val="004D536A"/>
    <w:rsid w:val="004E2B50"/>
    <w:rsid w:val="004E33E0"/>
    <w:rsid w:val="004F4614"/>
    <w:rsid w:val="004F4B2D"/>
    <w:rsid w:val="00502D76"/>
    <w:rsid w:val="00504E8E"/>
    <w:rsid w:val="0051049C"/>
    <w:rsid w:val="00510EB0"/>
    <w:rsid w:val="005113F8"/>
    <w:rsid w:val="00511AAF"/>
    <w:rsid w:val="00523557"/>
    <w:rsid w:val="00524752"/>
    <w:rsid w:val="005352B7"/>
    <w:rsid w:val="00537EBE"/>
    <w:rsid w:val="00563BF5"/>
    <w:rsid w:val="00565BB7"/>
    <w:rsid w:val="00565EF9"/>
    <w:rsid w:val="005663F4"/>
    <w:rsid w:val="00566BF6"/>
    <w:rsid w:val="00567F9E"/>
    <w:rsid w:val="00570992"/>
    <w:rsid w:val="00581492"/>
    <w:rsid w:val="00582D79"/>
    <w:rsid w:val="00591D01"/>
    <w:rsid w:val="00592036"/>
    <w:rsid w:val="005A172A"/>
    <w:rsid w:val="005A642B"/>
    <w:rsid w:val="005B7433"/>
    <w:rsid w:val="005B7633"/>
    <w:rsid w:val="005C15FA"/>
    <w:rsid w:val="005C192F"/>
    <w:rsid w:val="005C2766"/>
    <w:rsid w:val="005C28D3"/>
    <w:rsid w:val="005C5302"/>
    <w:rsid w:val="005E5B45"/>
    <w:rsid w:val="005F0564"/>
    <w:rsid w:val="005F241C"/>
    <w:rsid w:val="00604DDD"/>
    <w:rsid w:val="00610AA7"/>
    <w:rsid w:val="006130F3"/>
    <w:rsid w:val="00616019"/>
    <w:rsid w:val="006225C7"/>
    <w:rsid w:val="00632231"/>
    <w:rsid w:val="00634AA5"/>
    <w:rsid w:val="00637378"/>
    <w:rsid w:val="0064171B"/>
    <w:rsid w:val="00642471"/>
    <w:rsid w:val="00645E73"/>
    <w:rsid w:val="00657D4D"/>
    <w:rsid w:val="00663FD0"/>
    <w:rsid w:val="00665EFA"/>
    <w:rsid w:val="00666319"/>
    <w:rsid w:val="006746FA"/>
    <w:rsid w:val="00674737"/>
    <w:rsid w:val="00674F10"/>
    <w:rsid w:val="00675849"/>
    <w:rsid w:val="00676CE0"/>
    <w:rsid w:val="00677CAC"/>
    <w:rsid w:val="00677E96"/>
    <w:rsid w:val="00682C4E"/>
    <w:rsid w:val="00687CCD"/>
    <w:rsid w:val="006904CF"/>
    <w:rsid w:val="006905AA"/>
    <w:rsid w:val="0069072C"/>
    <w:rsid w:val="00692BFD"/>
    <w:rsid w:val="00693368"/>
    <w:rsid w:val="00693530"/>
    <w:rsid w:val="006946EA"/>
    <w:rsid w:val="0069484C"/>
    <w:rsid w:val="006A1E74"/>
    <w:rsid w:val="006A5709"/>
    <w:rsid w:val="006A58BC"/>
    <w:rsid w:val="006B15A5"/>
    <w:rsid w:val="006B5E8B"/>
    <w:rsid w:val="006C2484"/>
    <w:rsid w:val="006C426D"/>
    <w:rsid w:val="006E360C"/>
    <w:rsid w:val="006F10F1"/>
    <w:rsid w:val="006F7001"/>
    <w:rsid w:val="006F7CAB"/>
    <w:rsid w:val="007052EA"/>
    <w:rsid w:val="007077BF"/>
    <w:rsid w:val="0071195A"/>
    <w:rsid w:val="00716870"/>
    <w:rsid w:val="00724040"/>
    <w:rsid w:val="00726FB5"/>
    <w:rsid w:val="00731DED"/>
    <w:rsid w:val="00732261"/>
    <w:rsid w:val="00734DB8"/>
    <w:rsid w:val="00740C75"/>
    <w:rsid w:val="00743161"/>
    <w:rsid w:val="00751DBE"/>
    <w:rsid w:val="00752D95"/>
    <w:rsid w:val="00755DA7"/>
    <w:rsid w:val="00757942"/>
    <w:rsid w:val="007775C8"/>
    <w:rsid w:val="00781881"/>
    <w:rsid w:val="007818B8"/>
    <w:rsid w:val="007A285A"/>
    <w:rsid w:val="007A666A"/>
    <w:rsid w:val="007B0B7A"/>
    <w:rsid w:val="007B3FA7"/>
    <w:rsid w:val="007B659D"/>
    <w:rsid w:val="007B67AC"/>
    <w:rsid w:val="007C0AE3"/>
    <w:rsid w:val="007C1FF4"/>
    <w:rsid w:val="007C4BFC"/>
    <w:rsid w:val="007C4D4A"/>
    <w:rsid w:val="007C55F1"/>
    <w:rsid w:val="007D7046"/>
    <w:rsid w:val="007E63AD"/>
    <w:rsid w:val="007F0300"/>
    <w:rsid w:val="007F5815"/>
    <w:rsid w:val="00805FD5"/>
    <w:rsid w:val="00806D49"/>
    <w:rsid w:val="0080734D"/>
    <w:rsid w:val="00807EA6"/>
    <w:rsid w:val="00807EEE"/>
    <w:rsid w:val="00820273"/>
    <w:rsid w:val="00826B71"/>
    <w:rsid w:val="008301FB"/>
    <w:rsid w:val="0083513A"/>
    <w:rsid w:val="00841702"/>
    <w:rsid w:val="00841ED0"/>
    <w:rsid w:val="00846ECD"/>
    <w:rsid w:val="008502E3"/>
    <w:rsid w:val="0085164A"/>
    <w:rsid w:val="0085221B"/>
    <w:rsid w:val="00852754"/>
    <w:rsid w:val="00855AAB"/>
    <w:rsid w:val="0086479C"/>
    <w:rsid w:val="008665BD"/>
    <w:rsid w:val="008745DD"/>
    <w:rsid w:val="008764BB"/>
    <w:rsid w:val="00877DE0"/>
    <w:rsid w:val="00883962"/>
    <w:rsid w:val="00884725"/>
    <w:rsid w:val="00884C5A"/>
    <w:rsid w:val="00891AE4"/>
    <w:rsid w:val="008970DF"/>
    <w:rsid w:val="00897963"/>
    <w:rsid w:val="008A0103"/>
    <w:rsid w:val="008A3C8F"/>
    <w:rsid w:val="008A7A1A"/>
    <w:rsid w:val="008B2B97"/>
    <w:rsid w:val="008C3C48"/>
    <w:rsid w:val="008C727C"/>
    <w:rsid w:val="008C7BDF"/>
    <w:rsid w:val="008D1227"/>
    <w:rsid w:val="008D1FC6"/>
    <w:rsid w:val="008E64D6"/>
    <w:rsid w:val="008F0B66"/>
    <w:rsid w:val="008F32C5"/>
    <w:rsid w:val="008F6C96"/>
    <w:rsid w:val="00917524"/>
    <w:rsid w:val="00917E32"/>
    <w:rsid w:val="00922913"/>
    <w:rsid w:val="0092535E"/>
    <w:rsid w:val="0093543D"/>
    <w:rsid w:val="009365A1"/>
    <w:rsid w:val="009409D0"/>
    <w:rsid w:val="0094359B"/>
    <w:rsid w:val="00944783"/>
    <w:rsid w:val="00950420"/>
    <w:rsid w:val="00953435"/>
    <w:rsid w:val="0096011A"/>
    <w:rsid w:val="00963B72"/>
    <w:rsid w:val="00963EE7"/>
    <w:rsid w:val="00966E35"/>
    <w:rsid w:val="00973D0B"/>
    <w:rsid w:val="00975FDB"/>
    <w:rsid w:val="00983834"/>
    <w:rsid w:val="009850A8"/>
    <w:rsid w:val="00987915"/>
    <w:rsid w:val="00991EAD"/>
    <w:rsid w:val="0099254B"/>
    <w:rsid w:val="0099293F"/>
    <w:rsid w:val="00992AF5"/>
    <w:rsid w:val="00993D69"/>
    <w:rsid w:val="00994489"/>
    <w:rsid w:val="009A1A11"/>
    <w:rsid w:val="009A246D"/>
    <w:rsid w:val="009A3EF9"/>
    <w:rsid w:val="009A4A47"/>
    <w:rsid w:val="009A622F"/>
    <w:rsid w:val="009A6884"/>
    <w:rsid w:val="009A6DE5"/>
    <w:rsid w:val="009B254C"/>
    <w:rsid w:val="009B26EE"/>
    <w:rsid w:val="009C105D"/>
    <w:rsid w:val="009C15FD"/>
    <w:rsid w:val="009C1875"/>
    <w:rsid w:val="009C25EC"/>
    <w:rsid w:val="009C5408"/>
    <w:rsid w:val="009C5A21"/>
    <w:rsid w:val="009C5B7E"/>
    <w:rsid w:val="009D0494"/>
    <w:rsid w:val="009D0733"/>
    <w:rsid w:val="009D4D23"/>
    <w:rsid w:val="009D798E"/>
    <w:rsid w:val="009E2635"/>
    <w:rsid w:val="009E3CA1"/>
    <w:rsid w:val="009E57EC"/>
    <w:rsid w:val="00A06490"/>
    <w:rsid w:val="00A10A53"/>
    <w:rsid w:val="00A111C3"/>
    <w:rsid w:val="00A1374A"/>
    <w:rsid w:val="00A148DC"/>
    <w:rsid w:val="00A24906"/>
    <w:rsid w:val="00A27D46"/>
    <w:rsid w:val="00A3134D"/>
    <w:rsid w:val="00A43336"/>
    <w:rsid w:val="00A43FA5"/>
    <w:rsid w:val="00A477F3"/>
    <w:rsid w:val="00A47A33"/>
    <w:rsid w:val="00A60835"/>
    <w:rsid w:val="00A6207C"/>
    <w:rsid w:val="00A62B48"/>
    <w:rsid w:val="00A6696A"/>
    <w:rsid w:val="00A66A64"/>
    <w:rsid w:val="00A83953"/>
    <w:rsid w:val="00A847BF"/>
    <w:rsid w:val="00A86F6E"/>
    <w:rsid w:val="00A93066"/>
    <w:rsid w:val="00A975F1"/>
    <w:rsid w:val="00AA1099"/>
    <w:rsid w:val="00AB5568"/>
    <w:rsid w:val="00AC2066"/>
    <w:rsid w:val="00AD3B6C"/>
    <w:rsid w:val="00AD52FD"/>
    <w:rsid w:val="00B00ADE"/>
    <w:rsid w:val="00B01118"/>
    <w:rsid w:val="00B01685"/>
    <w:rsid w:val="00B0331D"/>
    <w:rsid w:val="00B038B3"/>
    <w:rsid w:val="00B038F4"/>
    <w:rsid w:val="00B0732A"/>
    <w:rsid w:val="00B07C67"/>
    <w:rsid w:val="00B13030"/>
    <w:rsid w:val="00B17555"/>
    <w:rsid w:val="00B20D35"/>
    <w:rsid w:val="00B33683"/>
    <w:rsid w:val="00B4514A"/>
    <w:rsid w:val="00B473A1"/>
    <w:rsid w:val="00B65FA5"/>
    <w:rsid w:val="00B75E1D"/>
    <w:rsid w:val="00B90F23"/>
    <w:rsid w:val="00B924DE"/>
    <w:rsid w:val="00B932DC"/>
    <w:rsid w:val="00B93AD7"/>
    <w:rsid w:val="00B952F3"/>
    <w:rsid w:val="00B9594C"/>
    <w:rsid w:val="00BA4641"/>
    <w:rsid w:val="00BA4D67"/>
    <w:rsid w:val="00BA63EF"/>
    <w:rsid w:val="00BA6DE0"/>
    <w:rsid w:val="00BA70D5"/>
    <w:rsid w:val="00BA7CEB"/>
    <w:rsid w:val="00BB4E8E"/>
    <w:rsid w:val="00BB6025"/>
    <w:rsid w:val="00BD0F92"/>
    <w:rsid w:val="00BD1FA9"/>
    <w:rsid w:val="00BE03C5"/>
    <w:rsid w:val="00BE3035"/>
    <w:rsid w:val="00BE3228"/>
    <w:rsid w:val="00BE67C4"/>
    <w:rsid w:val="00BF1ABF"/>
    <w:rsid w:val="00BF3B30"/>
    <w:rsid w:val="00BF3BE5"/>
    <w:rsid w:val="00BF443A"/>
    <w:rsid w:val="00C00627"/>
    <w:rsid w:val="00C0281B"/>
    <w:rsid w:val="00C04673"/>
    <w:rsid w:val="00C06E16"/>
    <w:rsid w:val="00C16FFC"/>
    <w:rsid w:val="00C179AF"/>
    <w:rsid w:val="00C2039E"/>
    <w:rsid w:val="00C206FA"/>
    <w:rsid w:val="00C36FF0"/>
    <w:rsid w:val="00C378EB"/>
    <w:rsid w:val="00C4270D"/>
    <w:rsid w:val="00C4534C"/>
    <w:rsid w:val="00C47CB2"/>
    <w:rsid w:val="00C51829"/>
    <w:rsid w:val="00C54800"/>
    <w:rsid w:val="00C637F5"/>
    <w:rsid w:val="00C7155C"/>
    <w:rsid w:val="00C73031"/>
    <w:rsid w:val="00C74A75"/>
    <w:rsid w:val="00C74D6E"/>
    <w:rsid w:val="00C75BD3"/>
    <w:rsid w:val="00C83099"/>
    <w:rsid w:val="00C90E36"/>
    <w:rsid w:val="00C93D11"/>
    <w:rsid w:val="00C94EAC"/>
    <w:rsid w:val="00C95446"/>
    <w:rsid w:val="00CA1008"/>
    <w:rsid w:val="00CA5EE5"/>
    <w:rsid w:val="00CB1E6A"/>
    <w:rsid w:val="00CB2885"/>
    <w:rsid w:val="00CB6001"/>
    <w:rsid w:val="00CB7EDB"/>
    <w:rsid w:val="00CC0B8F"/>
    <w:rsid w:val="00CC18C3"/>
    <w:rsid w:val="00CC54DD"/>
    <w:rsid w:val="00CD268A"/>
    <w:rsid w:val="00CD3708"/>
    <w:rsid w:val="00CD785A"/>
    <w:rsid w:val="00CE0B55"/>
    <w:rsid w:val="00CE3DB8"/>
    <w:rsid w:val="00CE4DB6"/>
    <w:rsid w:val="00D05A02"/>
    <w:rsid w:val="00D13BB8"/>
    <w:rsid w:val="00D17FA1"/>
    <w:rsid w:val="00D267AE"/>
    <w:rsid w:val="00D4574E"/>
    <w:rsid w:val="00D5164F"/>
    <w:rsid w:val="00D7777F"/>
    <w:rsid w:val="00D84F5A"/>
    <w:rsid w:val="00D8599A"/>
    <w:rsid w:val="00D86699"/>
    <w:rsid w:val="00D917DF"/>
    <w:rsid w:val="00D936E6"/>
    <w:rsid w:val="00D97945"/>
    <w:rsid w:val="00DA10FA"/>
    <w:rsid w:val="00DA1624"/>
    <w:rsid w:val="00DA248F"/>
    <w:rsid w:val="00DA5728"/>
    <w:rsid w:val="00DA798A"/>
    <w:rsid w:val="00DB0452"/>
    <w:rsid w:val="00DB25EE"/>
    <w:rsid w:val="00DB3A06"/>
    <w:rsid w:val="00DC1B87"/>
    <w:rsid w:val="00DC56A6"/>
    <w:rsid w:val="00DC64E5"/>
    <w:rsid w:val="00DD2618"/>
    <w:rsid w:val="00DD4B92"/>
    <w:rsid w:val="00DD5E9E"/>
    <w:rsid w:val="00DE2893"/>
    <w:rsid w:val="00DE68F3"/>
    <w:rsid w:val="00DF3F33"/>
    <w:rsid w:val="00E05C1C"/>
    <w:rsid w:val="00E1034B"/>
    <w:rsid w:val="00E105DF"/>
    <w:rsid w:val="00E11B0F"/>
    <w:rsid w:val="00E20DA0"/>
    <w:rsid w:val="00E32ABE"/>
    <w:rsid w:val="00E34AA8"/>
    <w:rsid w:val="00E35824"/>
    <w:rsid w:val="00E402C3"/>
    <w:rsid w:val="00E42D24"/>
    <w:rsid w:val="00E4571F"/>
    <w:rsid w:val="00E46B1A"/>
    <w:rsid w:val="00E51E97"/>
    <w:rsid w:val="00E545C7"/>
    <w:rsid w:val="00E608B5"/>
    <w:rsid w:val="00E71B3E"/>
    <w:rsid w:val="00E7465A"/>
    <w:rsid w:val="00E801FC"/>
    <w:rsid w:val="00E8607B"/>
    <w:rsid w:val="00E90713"/>
    <w:rsid w:val="00E9146B"/>
    <w:rsid w:val="00E91B6D"/>
    <w:rsid w:val="00E96AF9"/>
    <w:rsid w:val="00EA1465"/>
    <w:rsid w:val="00EA147C"/>
    <w:rsid w:val="00EB3FA3"/>
    <w:rsid w:val="00ED0DD9"/>
    <w:rsid w:val="00ED2A32"/>
    <w:rsid w:val="00ED73AF"/>
    <w:rsid w:val="00ED785F"/>
    <w:rsid w:val="00EE2C68"/>
    <w:rsid w:val="00EF5FDB"/>
    <w:rsid w:val="00F03162"/>
    <w:rsid w:val="00F11019"/>
    <w:rsid w:val="00F140E2"/>
    <w:rsid w:val="00F14210"/>
    <w:rsid w:val="00F16AC9"/>
    <w:rsid w:val="00F23AEC"/>
    <w:rsid w:val="00F3207E"/>
    <w:rsid w:val="00F327BF"/>
    <w:rsid w:val="00F3418B"/>
    <w:rsid w:val="00F34D10"/>
    <w:rsid w:val="00F37F75"/>
    <w:rsid w:val="00F40618"/>
    <w:rsid w:val="00F42489"/>
    <w:rsid w:val="00F42C40"/>
    <w:rsid w:val="00F4359C"/>
    <w:rsid w:val="00F52834"/>
    <w:rsid w:val="00F60B8A"/>
    <w:rsid w:val="00F63CDB"/>
    <w:rsid w:val="00F72670"/>
    <w:rsid w:val="00F730D8"/>
    <w:rsid w:val="00F756A4"/>
    <w:rsid w:val="00F80E75"/>
    <w:rsid w:val="00F83394"/>
    <w:rsid w:val="00F918E8"/>
    <w:rsid w:val="00F946A5"/>
    <w:rsid w:val="00F9792D"/>
    <w:rsid w:val="00FA4D5A"/>
    <w:rsid w:val="00FA5879"/>
    <w:rsid w:val="00FA64DE"/>
    <w:rsid w:val="00FB0131"/>
    <w:rsid w:val="00FB107F"/>
    <w:rsid w:val="00FB1BA1"/>
    <w:rsid w:val="00FB3F7E"/>
    <w:rsid w:val="00FB511B"/>
    <w:rsid w:val="00FC1A5C"/>
    <w:rsid w:val="00FC5BEC"/>
    <w:rsid w:val="00FD41DB"/>
    <w:rsid w:val="00FE19A8"/>
    <w:rsid w:val="00FF61C1"/>
    <w:rsid w:val="00FF78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CD4F"/>
  <w15:chartTrackingRefBased/>
  <w15:docId w15:val="{483BD1B3-3E50-4998-9DBD-4FBF5707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EC"/>
  </w:style>
  <w:style w:type="paragraph" w:styleId="Ttulo1">
    <w:name w:val="heading 1"/>
    <w:basedOn w:val="Normal"/>
    <w:next w:val="Normal"/>
    <w:link w:val="Ttulo1Car"/>
    <w:uiPriority w:val="9"/>
    <w:qFormat/>
    <w:rsid w:val="00241A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41A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63B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3EE7"/>
    <w:pPr>
      <w:ind w:left="720"/>
      <w:contextualSpacing/>
    </w:pPr>
  </w:style>
  <w:style w:type="table" w:customStyle="1" w:styleId="TableNormal">
    <w:name w:val="Table Normal"/>
    <w:uiPriority w:val="2"/>
    <w:semiHidden/>
    <w:unhideWhenUsed/>
    <w:qFormat/>
    <w:rsid w:val="004D53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536A"/>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Ttulo1Car">
    <w:name w:val="Título 1 Car"/>
    <w:basedOn w:val="Fuentedeprrafopredeter"/>
    <w:link w:val="Ttulo1"/>
    <w:uiPriority w:val="9"/>
    <w:rsid w:val="00241AA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241AA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63BF5"/>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C63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444AA3"/>
    <w:pPr>
      <w:outlineLvl w:val="9"/>
    </w:pPr>
    <w:rPr>
      <w:lang w:eastAsia="es-GT"/>
    </w:rPr>
  </w:style>
  <w:style w:type="paragraph" w:styleId="TDC1">
    <w:name w:val="toc 1"/>
    <w:basedOn w:val="Normal"/>
    <w:next w:val="Normal"/>
    <w:autoRedefine/>
    <w:uiPriority w:val="39"/>
    <w:unhideWhenUsed/>
    <w:rsid w:val="0092535E"/>
    <w:pPr>
      <w:tabs>
        <w:tab w:val="right" w:leader="dot" w:pos="8828"/>
      </w:tabs>
      <w:spacing w:after="100"/>
    </w:pPr>
  </w:style>
  <w:style w:type="paragraph" w:styleId="TDC2">
    <w:name w:val="toc 2"/>
    <w:basedOn w:val="Normal"/>
    <w:next w:val="Normal"/>
    <w:autoRedefine/>
    <w:uiPriority w:val="39"/>
    <w:unhideWhenUsed/>
    <w:rsid w:val="0092535E"/>
    <w:pPr>
      <w:tabs>
        <w:tab w:val="right" w:leader="dot" w:pos="8828"/>
      </w:tabs>
      <w:spacing w:after="100"/>
      <w:ind w:left="220"/>
    </w:pPr>
  </w:style>
  <w:style w:type="paragraph" w:styleId="TDC3">
    <w:name w:val="toc 3"/>
    <w:basedOn w:val="Normal"/>
    <w:next w:val="Normal"/>
    <w:autoRedefine/>
    <w:uiPriority w:val="39"/>
    <w:unhideWhenUsed/>
    <w:rsid w:val="00444AA3"/>
    <w:pPr>
      <w:spacing w:after="100"/>
      <w:ind w:left="440"/>
    </w:pPr>
  </w:style>
  <w:style w:type="character" w:styleId="Hipervnculo">
    <w:name w:val="Hyperlink"/>
    <w:basedOn w:val="Fuentedeprrafopredeter"/>
    <w:uiPriority w:val="99"/>
    <w:unhideWhenUsed/>
    <w:rsid w:val="00444AA3"/>
    <w:rPr>
      <w:color w:val="0563C1" w:themeColor="hyperlink"/>
      <w:u w:val="single"/>
    </w:rPr>
  </w:style>
  <w:style w:type="paragraph" w:styleId="Textoindependiente">
    <w:name w:val="Body Text"/>
    <w:basedOn w:val="Normal"/>
    <w:link w:val="TextoindependienteCar"/>
    <w:uiPriority w:val="1"/>
    <w:qFormat/>
    <w:rsid w:val="00BA4641"/>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BA4641"/>
    <w:rPr>
      <w:rFonts w:ascii="Times New Roman" w:eastAsia="Times New Roman" w:hAnsi="Times New Roman" w:cs="Times New Roman"/>
      <w:sz w:val="24"/>
      <w:szCs w:val="24"/>
      <w:lang w:val="es-ES"/>
    </w:rPr>
  </w:style>
  <w:style w:type="paragraph" w:customStyle="1" w:styleId="Tabla">
    <w:name w:val="Tabla"/>
    <w:basedOn w:val="Normal"/>
    <w:link w:val="TablaCar"/>
    <w:qFormat/>
    <w:rsid w:val="00064FC8"/>
    <w:pPr>
      <w:tabs>
        <w:tab w:val="left" w:pos="1980"/>
      </w:tabs>
      <w:jc w:val="right"/>
    </w:pPr>
  </w:style>
  <w:style w:type="character" w:customStyle="1" w:styleId="TablaCar">
    <w:name w:val="Tabla Car"/>
    <w:basedOn w:val="Fuentedeprrafopredeter"/>
    <w:link w:val="Tabla"/>
    <w:rsid w:val="00064FC8"/>
  </w:style>
  <w:style w:type="paragraph" w:customStyle="1" w:styleId="Default">
    <w:name w:val="Default"/>
    <w:rsid w:val="001C37D0"/>
    <w:pPr>
      <w:autoSpaceDE w:val="0"/>
      <w:autoSpaceDN w:val="0"/>
      <w:adjustRightInd w:val="0"/>
      <w:spacing w:after="0" w:line="240" w:lineRule="auto"/>
    </w:pPr>
    <w:rPr>
      <w:rFonts w:ascii="Athelas" w:hAnsi="Athelas" w:cs="Athelas"/>
      <w:color w:val="000000"/>
      <w:sz w:val="24"/>
      <w:szCs w:val="24"/>
    </w:rPr>
  </w:style>
  <w:style w:type="paragraph" w:styleId="Encabezado">
    <w:name w:val="header"/>
    <w:basedOn w:val="Normal"/>
    <w:link w:val="EncabezadoCar"/>
    <w:uiPriority w:val="99"/>
    <w:unhideWhenUsed/>
    <w:rsid w:val="005C15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15FA"/>
  </w:style>
  <w:style w:type="paragraph" w:styleId="Piedepgina">
    <w:name w:val="footer"/>
    <w:basedOn w:val="Normal"/>
    <w:link w:val="PiedepginaCar"/>
    <w:uiPriority w:val="99"/>
    <w:unhideWhenUsed/>
    <w:rsid w:val="005C15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15FA"/>
  </w:style>
  <w:style w:type="character" w:styleId="Refdecomentario">
    <w:name w:val="annotation reference"/>
    <w:basedOn w:val="Fuentedeprrafopredeter"/>
    <w:uiPriority w:val="99"/>
    <w:semiHidden/>
    <w:unhideWhenUsed/>
    <w:rsid w:val="00687CCD"/>
    <w:rPr>
      <w:sz w:val="16"/>
      <w:szCs w:val="16"/>
    </w:rPr>
  </w:style>
  <w:style w:type="paragraph" w:styleId="Textocomentario">
    <w:name w:val="annotation text"/>
    <w:basedOn w:val="Normal"/>
    <w:link w:val="TextocomentarioCar"/>
    <w:uiPriority w:val="99"/>
    <w:semiHidden/>
    <w:unhideWhenUsed/>
    <w:rsid w:val="00687C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7CCD"/>
    <w:rPr>
      <w:sz w:val="20"/>
      <w:szCs w:val="20"/>
    </w:rPr>
  </w:style>
  <w:style w:type="paragraph" w:styleId="Bibliografa">
    <w:name w:val="Bibliography"/>
    <w:basedOn w:val="Normal"/>
    <w:next w:val="Normal"/>
    <w:uiPriority w:val="37"/>
    <w:unhideWhenUsed/>
    <w:rsid w:val="0038110F"/>
  </w:style>
  <w:style w:type="paragraph" w:styleId="Revisin">
    <w:name w:val="Revision"/>
    <w:hidden/>
    <w:uiPriority w:val="99"/>
    <w:semiHidden/>
    <w:rsid w:val="00DD261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DD2618"/>
    <w:rPr>
      <w:b/>
      <w:bCs/>
    </w:rPr>
  </w:style>
  <w:style w:type="character" w:customStyle="1" w:styleId="AsuntodelcomentarioCar">
    <w:name w:val="Asunto del comentario Car"/>
    <w:basedOn w:val="TextocomentarioCar"/>
    <w:link w:val="Asuntodelcomentario"/>
    <w:uiPriority w:val="99"/>
    <w:semiHidden/>
    <w:rsid w:val="00DD2618"/>
    <w:rPr>
      <w:b/>
      <w:bCs/>
      <w:sz w:val="20"/>
      <w:szCs w:val="20"/>
    </w:rPr>
  </w:style>
  <w:style w:type="paragraph" w:styleId="Textodeglobo">
    <w:name w:val="Balloon Text"/>
    <w:basedOn w:val="Normal"/>
    <w:link w:val="TextodegloboCar"/>
    <w:uiPriority w:val="99"/>
    <w:semiHidden/>
    <w:unhideWhenUsed/>
    <w:rsid w:val="00FE19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3177">
      <w:bodyDiv w:val="1"/>
      <w:marLeft w:val="0"/>
      <w:marRight w:val="0"/>
      <w:marTop w:val="0"/>
      <w:marBottom w:val="0"/>
      <w:divBdr>
        <w:top w:val="none" w:sz="0" w:space="0" w:color="auto"/>
        <w:left w:val="none" w:sz="0" w:space="0" w:color="auto"/>
        <w:bottom w:val="none" w:sz="0" w:space="0" w:color="auto"/>
        <w:right w:val="none" w:sz="0" w:space="0" w:color="auto"/>
      </w:divBdr>
    </w:div>
    <w:div w:id="385299608">
      <w:bodyDiv w:val="1"/>
      <w:marLeft w:val="0"/>
      <w:marRight w:val="0"/>
      <w:marTop w:val="0"/>
      <w:marBottom w:val="0"/>
      <w:divBdr>
        <w:top w:val="none" w:sz="0" w:space="0" w:color="auto"/>
        <w:left w:val="none" w:sz="0" w:space="0" w:color="auto"/>
        <w:bottom w:val="none" w:sz="0" w:space="0" w:color="auto"/>
        <w:right w:val="none" w:sz="0" w:space="0" w:color="auto"/>
      </w:divBdr>
    </w:div>
    <w:div w:id="445849973">
      <w:bodyDiv w:val="1"/>
      <w:marLeft w:val="0"/>
      <w:marRight w:val="0"/>
      <w:marTop w:val="0"/>
      <w:marBottom w:val="0"/>
      <w:divBdr>
        <w:top w:val="none" w:sz="0" w:space="0" w:color="auto"/>
        <w:left w:val="none" w:sz="0" w:space="0" w:color="auto"/>
        <w:bottom w:val="none" w:sz="0" w:space="0" w:color="auto"/>
        <w:right w:val="none" w:sz="0" w:space="0" w:color="auto"/>
      </w:divBdr>
    </w:div>
    <w:div w:id="475487094">
      <w:bodyDiv w:val="1"/>
      <w:marLeft w:val="0"/>
      <w:marRight w:val="0"/>
      <w:marTop w:val="0"/>
      <w:marBottom w:val="0"/>
      <w:divBdr>
        <w:top w:val="none" w:sz="0" w:space="0" w:color="auto"/>
        <w:left w:val="none" w:sz="0" w:space="0" w:color="auto"/>
        <w:bottom w:val="none" w:sz="0" w:space="0" w:color="auto"/>
        <w:right w:val="none" w:sz="0" w:space="0" w:color="auto"/>
      </w:divBdr>
    </w:div>
    <w:div w:id="586498185">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55764956">
      <w:bodyDiv w:val="1"/>
      <w:marLeft w:val="0"/>
      <w:marRight w:val="0"/>
      <w:marTop w:val="0"/>
      <w:marBottom w:val="0"/>
      <w:divBdr>
        <w:top w:val="none" w:sz="0" w:space="0" w:color="auto"/>
        <w:left w:val="none" w:sz="0" w:space="0" w:color="auto"/>
        <w:bottom w:val="none" w:sz="0" w:space="0" w:color="auto"/>
        <w:right w:val="none" w:sz="0" w:space="0" w:color="auto"/>
      </w:divBdr>
    </w:div>
    <w:div w:id="674963551">
      <w:bodyDiv w:val="1"/>
      <w:marLeft w:val="0"/>
      <w:marRight w:val="0"/>
      <w:marTop w:val="0"/>
      <w:marBottom w:val="0"/>
      <w:divBdr>
        <w:top w:val="none" w:sz="0" w:space="0" w:color="auto"/>
        <w:left w:val="none" w:sz="0" w:space="0" w:color="auto"/>
        <w:bottom w:val="none" w:sz="0" w:space="0" w:color="auto"/>
        <w:right w:val="none" w:sz="0" w:space="0" w:color="auto"/>
      </w:divBdr>
    </w:div>
    <w:div w:id="687176989">
      <w:bodyDiv w:val="1"/>
      <w:marLeft w:val="0"/>
      <w:marRight w:val="0"/>
      <w:marTop w:val="0"/>
      <w:marBottom w:val="0"/>
      <w:divBdr>
        <w:top w:val="none" w:sz="0" w:space="0" w:color="auto"/>
        <w:left w:val="none" w:sz="0" w:space="0" w:color="auto"/>
        <w:bottom w:val="none" w:sz="0" w:space="0" w:color="auto"/>
        <w:right w:val="none" w:sz="0" w:space="0" w:color="auto"/>
      </w:divBdr>
    </w:div>
    <w:div w:id="692801942">
      <w:bodyDiv w:val="1"/>
      <w:marLeft w:val="0"/>
      <w:marRight w:val="0"/>
      <w:marTop w:val="0"/>
      <w:marBottom w:val="0"/>
      <w:divBdr>
        <w:top w:val="none" w:sz="0" w:space="0" w:color="auto"/>
        <w:left w:val="none" w:sz="0" w:space="0" w:color="auto"/>
        <w:bottom w:val="none" w:sz="0" w:space="0" w:color="auto"/>
        <w:right w:val="none" w:sz="0" w:space="0" w:color="auto"/>
      </w:divBdr>
    </w:div>
    <w:div w:id="797063676">
      <w:bodyDiv w:val="1"/>
      <w:marLeft w:val="0"/>
      <w:marRight w:val="0"/>
      <w:marTop w:val="0"/>
      <w:marBottom w:val="0"/>
      <w:divBdr>
        <w:top w:val="none" w:sz="0" w:space="0" w:color="auto"/>
        <w:left w:val="none" w:sz="0" w:space="0" w:color="auto"/>
        <w:bottom w:val="none" w:sz="0" w:space="0" w:color="auto"/>
        <w:right w:val="none" w:sz="0" w:space="0" w:color="auto"/>
      </w:divBdr>
    </w:div>
    <w:div w:id="842165957">
      <w:bodyDiv w:val="1"/>
      <w:marLeft w:val="0"/>
      <w:marRight w:val="0"/>
      <w:marTop w:val="0"/>
      <w:marBottom w:val="0"/>
      <w:divBdr>
        <w:top w:val="none" w:sz="0" w:space="0" w:color="auto"/>
        <w:left w:val="none" w:sz="0" w:space="0" w:color="auto"/>
        <w:bottom w:val="none" w:sz="0" w:space="0" w:color="auto"/>
        <w:right w:val="none" w:sz="0" w:space="0" w:color="auto"/>
      </w:divBdr>
    </w:div>
    <w:div w:id="857502388">
      <w:bodyDiv w:val="1"/>
      <w:marLeft w:val="0"/>
      <w:marRight w:val="0"/>
      <w:marTop w:val="0"/>
      <w:marBottom w:val="0"/>
      <w:divBdr>
        <w:top w:val="none" w:sz="0" w:space="0" w:color="auto"/>
        <w:left w:val="none" w:sz="0" w:space="0" w:color="auto"/>
        <w:bottom w:val="none" w:sz="0" w:space="0" w:color="auto"/>
        <w:right w:val="none" w:sz="0" w:space="0" w:color="auto"/>
      </w:divBdr>
    </w:div>
    <w:div w:id="866721119">
      <w:bodyDiv w:val="1"/>
      <w:marLeft w:val="0"/>
      <w:marRight w:val="0"/>
      <w:marTop w:val="0"/>
      <w:marBottom w:val="0"/>
      <w:divBdr>
        <w:top w:val="none" w:sz="0" w:space="0" w:color="auto"/>
        <w:left w:val="none" w:sz="0" w:space="0" w:color="auto"/>
        <w:bottom w:val="none" w:sz="0" w:space="0" w:color="auto"/>
        <w:right w:val="none" w:sz="0" w:space="0" w:color="auto"/>
      </w:divBdr>
    </w:div>
    <w:div w:id="909928591">
      <w:bodyDiv w:val="1"/>
      <w:marLeft w:val="0"/>
      <w:marRight w:val="0"/>
      <w:marTop w:val="0"/>
      <w:marBottom w:val="0"/>
      <w:divBdr>
        <w:top w:val="none" w:sz="0" w:space="0" w:color="auto"/>
        <w:left w:val="none" w:sz="0" w:space="0" w:color="auto"/>
        <w:bottom w:val="none" w:sz="0" w:space="0" w:color="auto"/>
        <w:right w:val="none" w:sz="0" w:space="0" w:color="auto"/>
      </w:divBdr>
    </w:div>
    <w:div w:id="968050150">
      <w:bodyDiv w:val="1"/>
      <w:marLeft w:val="0"/>
      <w:marRight w:val="0"/>
      <w:marTop w:val="0"/>
      <w:marBottom w:val="0"/>
      <w:divBdr>
        <w:top w:val="none" w:sz="0" w:space="0" w:color="auto"/>
        <w:left w:val="none" w:sz="0" w:space="0" w:color="auto"/>
        <w:bottom w:val="none" w:sz="0" w:space="0" w:color="auto"/>
        <w:right w:val="none" w:sz="0" w:space="0" w:color="auto"/>
      </w:divBdr>
    </w:div>
    <w:div w:id="1220824689">
      <w:bodyDiv w:val="1"/>
      <w:marLeft w:val="0"/>
      <w:marRight w:val="0"/>
      <w:marTop w:val="0"/>
      <w:marBottom w:val="0"/>
      <w:divBdr>
        <w:top w:val="none" w:sz="0" w:space="0" w:color="auto"/>
        <w:left w:val="none" w:sz="0" w:space="0" w:color="auto"/>
        <w:bottom w:val="none" w:sz="0" w:space="0" w:color="auto"/>
        <w:right w:val="none" w:sz="0" w:space="0" w:color="auto"/>
      </w:divBdr>
    </w:div>
    <w:div w:id="1238831239">
      <w:bodyDiv w:val="1"/>
      <w:marLeft w:val="0"/>
      <w:marRight w:val="0"/>
      <w:marTop w:val="0"/>
      <w:marBottom w:val="0"/>
      <w:divBdr>
        <w:top w:val="none" w:sz="0" w:space="0" w:color="auto"/>
        <w:left w:val="none" w:sz="0" w:space="0" w:color="auto"/>
        <w:bottom w:val="none" w:sz="0" w:space="0" w:color="auto"/>
        <w:right w:val="none" w:sz="0" w:space="0" w:color="auto"/>
      </w:divBdr>
    </w:div>
    <w:div w:id="1417633465">
      <w:bodyDiv w:val="1"/>
      <w:marLeft w:val="0"/>
      <w:marRight w:val="0"/>
      <w:marTop w:val="0"/>
      <w:marBottom w:val="0"/>
      <w:divBdr>
        <w:top w:val="none" w:sz="0" w:space="0" w:color="auto"/>
        <w:left w:val="none" w:sz="0" w:space="0" w:color="auto"/>
        <w:bottom w:val="none" w:sz="0" w:space="0" w:color="auto"/>
        <w:right w:val="none" w:sz="0" w:space="0" w:color="auto"/>
      </w:divBdr>
      <w:divsChild>
        <w:div w:id="837577529">
          <w:marLeft w:val="0"/>
          <w:marRight w:val="0"/>
          <w:marTop w:val="0"/>
          <w:marBottom w:val="0"/>
          <w:divBdr>
            <w:top w:val="none" w:sz="0" w:space="0" w:color="auto"/>
            <w:left w:val="none" w:sz="0" w:space="0" w:color="auto"/>
            <w:bottom w:val="none" w:sz="0" w:space="0" w:color="auto"/>
            <w:right w:val="none" w:sz="0" w:space="0" w:color="auto"/>
          </w:divBdr>
        </w:div>
        <w:div w:id="266693289">
          <w:marLeft w:val="0"/>
          <w:marRight w:val="0"/>
          <w:marTop w:val="0"/>
          <w:marBottom w:val="0"/>
          <w:divBdr>
            <w:top w:val="none" w:sz="0" w:space="0" w:color="auto"/>
            <w:left w:val="none" w:sz="0" w:space="0" w:color="auto"/>
            <w:bottom w:val="none" w:sz="0" w:space="0" w:color="auto"/>
            <w:right w:val="none" w:sz="0" w:space="0" w:color="auto"/>
          </w:divBdr>
        </w:div>
        <w:div w:id="84497109">
          <w:marLeft w:val="0"/>
          <w:marRight w:val="0"/>
          <w:marTop w:val="0"/>
          <w:marBottom w:val="0"/>
          <w:divBdr>
            <w:top w:val="none" w:sz="0" w:space="0" w:color="auto"/>
            <w:left w:val="none" w:sz="0" w:space="0" w:color="auto"/>
            <w:bottom w:val="none" w:sz="0" w:space="0" w:color="auto"/>
            <w:right w:val="none" w:sz="0" w:space="0" w:color="auto"/>
          </w:divBdr>
        </w:div>
        <w:div w:id="1129670621">
          <w:marLeft w:val="0"/>
          <w:marRight w:val="0"/>
          <w:marTop w:val="0"/>
          <w:marBottom w:val="0"/>
          <w:divBdr>
            <w:top w:val="none" w:sz="0" w:space="0" w:color="auto"/>
            <w:left w:val="none" w:sz="0" w:space="0" w:color="auto"/>
            <w:bottom w:val="none" w:sz="0" w:space="0" w:color="auto"/>
            <w:right w:val="none" w:sz="0" w:space="0" w:color="auto"/>
          </w:divBdr>
        </w:div>
        <w:div w:id="891886778">
          <w:marLeft w:val="0"/>
          <w:marRight w:val="0"/>
          <w:marTop w:val="0"/>
          <w:marBottom w:val="0"/>
          <w:divBdr>
            <w:top w:val="none" w:sz="0" w:space="0" w:color="auto"/>
            <w:left w:val="none" w:sz="0" w:space="0" w:color="auto"/>
            <w:bottom w:val="none" w:sz="0" w:space="0" w:color="auto"/>
            <w:right w:val="none" w:sz="0" w:space="0" w:color="auto"/>
          </w:divBdr>
        </w:div>
        <w:div w:id="246499100">
          <w:marLeft w:val="0"/>
          <w:marRight w:val="0"/>
          <w:marTop w:val="0"/>
          <w:marBottom w:val="0"/>
          <w:divBdr>
            <w:top w:val="none" w:sz="0" w:space="0" w:color="auto"/>
            <w:left w:val="none" w:sz="0" w:space="0" w:color="auto"/>
            <w:bottom w:val="none" w:sz="0" w:space="0" w:color="auto"/>
            <w:right w:val="none" w:sz="0" w:space="0" w:color="auto"/>
          </w:divBdr>
        </w:div>
        <w:div w:id="391080215">
          <w:marLeft w:val="0"/>
          <w:marRight w:val="0"/>
          <w:marTop w:val="0"/>
          <w:marBottom w:val="0"/>
          <w:divBdr>
            <w:top w:val="none" w:sz="0" w:space="0" w:color="auto"/>
            <w:left w:val="none" w:sz="0" w:space="0" w:color="auto"/>
            <w:bottom w:val="none" w:sz="0" w:space="0" w:color="auto"/>
            <w:right w:val="none" w:sz="0" w:space="0" w:color="auto"/>
          </w:divBdr>
        </w:div>
        <w:div w:id="1228997529">
          <w:marLeft w:val="0"/>
          <w:marRight w:val="0"/>
          <w:marTop w:val="0"/>
          <w:marBottom w:val="0"/>
          <w:divBdr>
            <w:top w:val="none" w:sz="0" w:space="0" w:color="auto"/>
            <w:left w:val="none" w:sz="0" w:space="0" w:color="auto"/>
            <w:bottom w:val="none" w:sz="0" w:space="0" w:color="auto"/>
            <w:right w:val="none" w:sz="0" w:space="0" w:color="auto"/>
          </w:divBdr>
        </w:div>
        <w:div w:id="327750669">
          <w:marLeft w:val="0"/>
          <w:marRight w:val="0"/>
          <w:marTop w:val="0"/>
          <w:marBottom w:val="0"/>
          <w:divBdr>
            <w:top w:val="none" w:sz="0" w:space="0" w:color="auto"/>
            <w:left w:val="none" w:sz="0" w:space="0" w:color="auto"/>
            <w:bottom w:val="none" w:sz="0" w:space="0" w:color="auto"/>
            <w:right w:val="none" w:sz="0" w:space="0" w:color="auto"/>
          </w:divBdr>
        </w:div>
        <w:div w:id="1008368323">
          <w:marLeft w:val="0"/>
          <w:marRight w:val="0"/>
          <w:marTop w:val="0"/>
          <w:marBottom w:val="0"/>
          <w:divBdr>
            <w:top w:val="none" w:sz="0" w:space="0" w:color="auto"/>
            <w:left w:val="none" w:sz="0" w:space="0" w:color="auto"/>
            <w:bottom w:val="none" w:sz="0" w:space="0" w:color="auto"/>
            <w:right w:val="none" w:sz="0" w:space="0" w:color="auto"/>
          </w:divBdr>
        </w:div>
        <w:div w:id="621766349">
          <w:marLeft w:val="0"/>
          <w:marRight w:val="0"/>
          <w:marTop w:val="0"/>
          <w:marBottom w:val="0"/>
          <w:divBdr>
            <w:top w:val="none" w:sz="0" w:space="0" w:color="auto"/>
            <w:left w:val="none" w:sz="0" w:space="0" w:color="auto"/>
            <w:bottom w:val="none" w:sz="0" w:space="0" w:color="auto"/>
            <w:right w:val="none" w:sz="0" w:space="0" w:color="auto"/>
          </w:divBdr>
        </w:div>
        <w:div w:id="1891305601">
          <w:marLeft w:val="0"/>
          <w:marRight w:val="0"/>
          <w:marTop w:val="0"/>
          <w:marBottom w:val="0"/>
          <w:divBdr>
            <w:top w:val="none" w:sz="0" w:space="0" w:color="auto"/>
            <w:left w:val="none" w:sz="0" w:space="0" w:color="auto"/>
            <w:bottom w:val="none" w:sz="0" w:space="0" w:color="auto"/>
            <w:right w:val="none" w:sz="0" w:space="0" w:color="auto"/>
          </w:divBdr>
        </w:div>
        <w:div w:id="1436442358">
          <w:marLeft w:val="0"/>
          <w:marRight w:val="0"/>
          <w:marTop w:val="0"/>
          <w:marBottom w:val="0"/>
          <w:divBdr>
            <w:top w:val="none" w:sz="0" w:space="0" w:color="auto"/>
            <w:left w:val="none" w:sz="0" w:space="0" w:color="auto"/>
            <w:bottom w:val="none" w:sz="0" w:space="0" w:color="auto"/>
            <w:right w:val="none" w:sz="0" w:space="0" w:color="auto"/>
          </w:divBdr>
        </w:div>
        <w:div w:id="407731648">
          <w:marLeft w:val="0"/>
          <w:marRight w:val="0"/>
          <w:marTop w:val="0"/>
          <w:marBottom w:val="0"/>
          <w:divBdr>
            <w:top w:val="none" w:sz="0" w:space="0" w:color="auto"/>
            <w:left w:val="none" w:sz="0" w:space="0" w:color="auto"/>
            <w:bottom w:val="none" w:sz="0" w:space="0" w:color="auto"/>
            <w:right w:val="none" w:sz="0" w:space="0" w:color="auto"/>
          </w:divBdr>
        </w:div>
        <w:div w:id="1591504572">
          <w:marLeft w:val="0"/>
          <w:marRight w:val="0"/>
          <w:marTop w:val="0"/>
          <w:marBottom w:val="0"/>
          <w:divBdr>
            <w:top w:val="none" w:sz="0" w:space="0" w:color="auto"/>
            <w:left w:val="none" w:sz="0" w:space="0" w:color="auto"/>
            <w:bottom w:val="none" w:sz="0" w:space="0" w:color="auto"/>
            <w:right w:val="none" w:sz="0" w:space="0" w:color="auto"/>
          </w:divBdr>
        </w:div>
      </w:divsChild>
    </w:div>
    <w:div w:id="1446655292">
      <w:bodyDiv w:val="1"/>
      <w:marLeft w:val="0"/>
      <w:marRight w:val="0"/>
      <w:marTop w:val="0"/>
      <w:marBottom w:val="0"/>
      <w:divBdr>
        <w:top w:val="none" w:sz="0" w:space="0" w:color="auto"/>
        <w:left w:val="none" w:sz="0" w:space="0" w:color="auto"/>
        <w:bottom w:val="none" w:sz="0" w:space="0" w:color="auto"/>
        <w:right w:val="none" w:sz="0" w:space="0" w:color="auto"/>
      </w:divBdr>
    </w:div>
    <w:div w:id="1464612009">
      <w:bodyDiv w:val="1"/>
      <w:marLeft w:val="0"/>
      <w:marRight w:val="0"/>
      <w:marTop w:val="0"/>
      <w:marBottom w:val="0"/>
      <w:divBdr>
        <w:top w:val="none" w:sz="0" w:space="0" w:color="auto"/>
        <w:left w:val="none" w:sz="0" w:space="0" w:color="auto"/>
        <w:bottom w:val="none" w:sz="0" w:space="0" w:color="auto"/>
        <w:right w:val="none" w:sz="0" w:space="0" w:color="auto"/>
      </w:divBdr>
    </w:div>
    <w:div w:id="1524782247">
      <w:bodyDiv w:val="1"/>
      <w:marLeft w:val="0"/>
      <w:marRight w:val="0"/>
      <w:marTop w:val="0"/>
      <w:marBottom w:val="0"/>
      <w:divBdr>
        <w:top w:val="none" w:sz="0" w:space="0" w:color="auto"/>
        <w:left w:val="none" w:sz="0" w:space="0" w:color="auto"/>
        <w:bottom w:val="none" w:sz="0" w:space="0" w:color="auto"/>
        <w:right w:val="none" w:sz="0" w:space="0" w:color="auto"/>
      </w:divBdr>
    </w:div>
    <w:div w:id="1567957202">
      <w:bodyDiv w:val="1"/>
      <w:marLeft w:val="0"/>
      <w:marRight w:val="0"/>
      <w:marTop w:val="0"/>
      <w:marBottom w:val="0"/>
      <w:divBdr>
        <w:top w:val="none" w:sz="0" w:space="0" w:color="auto"/>
        <w:left w:val="none" w:sz="0" w:space="0" w:color="auto"/>
        <w:bottom w:val="none" w:sz="0" w:space="0" w:color="auto"/>
        <w:right w:val="none" w:sz="0" w:space="0" w:color="auto"/>
      </w:divBdr>
    </w:div>
    <w:div w:id="1665430230">
      <w:bodyDiv w:val="1"/>
      <w:marLeft w:val="0"/>
      <w:marRight w:val="0"/>
      <w:marTop w:val="0"/>
      <w:marBottom w:val="0"/>
      <w:divBdr>
        <w:top w:val="none" w:sz="0" w:space="0" w:color="auto"/>
        <w:left w:val="none" w:sz="0" w:space="0" w:color="auto"/>
        <w:bottom w:val="none" w:sz="0" w:space="0" w:color="auto"/>
        <w:right w:val="none" w:sz="0" w:space="0" w:color="auto"/>
      </w:divBdr>
    </w:div>
    <w:div w:id="1743721852">
      <w:bodyDiv w:val="1"/>
      <w:marLeft w:val="0"/>
      <w:marRight w:val="0"/>
      <w:marTop w:val="0"/>
      <w:marBottom w:val="0"/>
      <w:divBdr>
        <w:top w:val="none" w:sz="0" w:space="0" w:color="auto"/>
        <w:left w:val="none" w:sz="0" w:space="0" w:color="auto"/>
        <w:bottom w:val="none" w:sz="0" w:space="0" w:color="auto"/>
        <w:right w:val="none" w:sz="0" w:space="0" w:color="auto"/>
      </w:divBdr>
    </w:div>
    <w:div w:id="1897083724">
      <w:bodyDiv w:val="1"/>
      <w:marLeft w:val="0"/>
      <w:marRight w:val="0"/>
      <w:marTop w:val="0"/>
      <w:marBottom w:val="0"/>
      <w:divBdr>
        <w:top w:val="none" w:sz="0" w:space="0" w:color="auto"/>
        <w:left w:val="none" w:sz="0" w:space="0" w:color="auto"/>
        <w:bottom w:val="none" w:sz="0" w:space="0" w:color="auto"/>
        <w:right w:val="none" w:sz="0" w:space="0" w:color="auto"/>
      </w:divBdr>
    </w:div>
    <w:div w:id="1933855960">
      <w:bodyDiv w:val="1"/>
      <w:marLeft w:val="0"/>
      <w:marRight w:val="0"/>
      <w:marTop w:val="0"/>
      <w:marBottom w:val="0"/>
      <w:divBdr>
        <w:top w:val="none" w:sz="0" w:space="0" w:color="auto"/>
        <w:left w:val="none" w:sz="0" w:space="0" w:color="auto"/>
        <w:bottom w:val="none" w:sz="0" w:space="0" w:color="auto"/>
        <w:right w:val="none" w:sz="0" w:space="0" w:color="auto"/>
      </w:divBdr>
    </w:div>
    <w:div w:id="2031836163">
      <w:bodyDiv w:val="1"/>
      <w:marLeft w:val="0"/>
      <w:marRight w:val="0"/>
      <w:marTop w:val="0"/>
      <w:marBottom w:val="0"/>
      <w:divBdr>
        <w:top w:val="none" w:sz="0" w:space="0" w:color="auto"/>
        <w:left w:val="none" w:sz="0" w:space="0" w:color="auto"/>
        <w:bottom w:val="none" w:sz="0" w:space="0" w:color="auto"/>
        <w:right w:val="none" w:sz="0" w:space="0" w:color="auto"/>
      </w:divBdr>
    </w:div>
    <w:div w:id="21447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7.emf"/><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chiquito\Documents\Clasificador%20Presupuestario%202021%20Millon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chiquito\Downloads\Clasificador%20Presupuestario%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chiquito\Documents\Clasificador%20Presupuestario%20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Vigente</c:v>
          </c:tx>
          <c:spPr>
            <a:solidFill>
              <a:schemeClr val="accent1"/>
            </a:solidFill>
            <a:ln>
              <a:noFill/>
            </a:ln>
            <a:effectLst/>
            <a:sp3d/>
          </c:spPr>
          <c:invertIfNegative val="0"/>
          <c:cat>
            <c:strRef>
              <c:f>'Vinculaciones Centralizadas (3)'!$C$6:$C$26</c:f>
              <c:strCache>
                <c:ptCount val="18"/>
                <c:pt idx="0">
                  <c:v>MAGA</c:v>
                </c:pt>
                <c:pt idx="1">
                  <c:v>MARN</c:v>
                </c:pt>
                <c:pt idx="2">
                  <c:v>MCD</c:v>
                </c:pt>
                <c:pt idx="3">
                  <c:v>MIDES</c:v>
                </c:pt>
                <c:pt idx="4">
                  <c:v>MINECO</c:v>
                </c:pt>
                <c:pt idx="5">
                  <c:v>MINEDUC</c:v>
                </c:pt>
                <c:pt idx="6">
                  <c:v>MEM</c:v>
                </c:pt>
                <c:pt idx="7">
                  <c:v>MINGOB</c:v>
                </c:pt>
                <c:pt idx="8">
                  <c:v>MINEX</c:v>
                </c:pt>
                <c:pt idx="9">
                  <c:v>MSPAS</c:v>
                </c:pt>
                <c:pt idx="10">
                  <c:v>MINTRAB</c:v>
                </c:pt>
                <c:pt idx="11">
                  <c:v>PGN</c:v>
                </c:pt>
                <c:pt idx="12">
                  <c:v>SOSEP</c:v>
                </c:pt>
                <c:pt idx="13">
                  <c:v>SENACYT</c:v>
                </c:pt>
                <c:pt idx="14">
                  <c:v>COPADEH</c:v>
                </c:pt>
                <c:pt idx="15">
                  <c:v>ONSEC</c:v>
                </c:pt>
                <c:pt idx="16">
                  <c:v>SBS</c:v>
                </c:pt>
                <c:pt idx="17">
                  <c:v>SEPREM</c:v>
                </c:pt>
              </c:strCache>
            </c:strRef>
          </c:cat>
          <c:val>
            <c:numRef>
              <c:f>'Vinculaciones Centralizadas (3)'!$D$6:$D$26</c:f>
              <c:numCache>
                <c:formatCode>_-"Q"* #,##0.0_-;\-"Q"* #,##0.0_-;_-"Q"* "-"??_-;_-@_-</c:formatCode>
                <c:ptCount val="18"/>
                <c:pt idx="0">
                  <c:v>24916261</c:v>
                </c:pt>
                <c:pt idx="1">
                  <c:v>941282</c:v>
                </c:pt>
                <c:pt idx="2">
                  <c:v>32402727</c:v>
                </c:pt>
                <c:pt idx="3">
                  <c:v>338203145</c:v>
                </c:pt>
                <c:pt idx="4">
                  <c:v>49478096</c:v>
                </c:pt>
                <c:pt idx="5">
                  <c:v>13773369</c:v>
                </c:pt>
                <c:pt idx="6">
                  <c:v>2008835</c:v>
                </c:pt>
                <c:pt idx="7">
                  <c:v>3484227023</c:v>
                </c:pt>
                <c:pt idx="8">
                  <c:v>217716623</c:v>
                </c:pt>
                <c:pt idx="9">
                  <c:v>838824045</c:v>
                </c:pt>
                <c:pt idx="10">
                  <c:v>7102848</c:v>
                </c:pt>
                <c:pt idx="11">
                  <c:v>1809539</c:v>
                </c:pt>
                <c:pt idx="12">
                  <c:v>8440286</c:v>
                </c:pt>
                <c:pt idx="13">
                  <c:v>2088998</c:v>
                </c:pt>
                <c:pt idx="14">
                  <c:v>5857555</c:v>
                </c:pt>
                <c:pt idx="15">
                  <c:v>10947344</c:v>
                </c:pt>
                <c:pt idx="16">
                  <c:v>38403651</c:v>
                </c:pt>
                <c:pt idx="17">
                  <c:v>28558000</c:v>
                </c:pt>
              </c:numCache>
            </c:numRef>
          </c:val>
          <c:extLst>
            <c:ext xmlns:c16="http://schemas.microsoft.com/office/drawing/2014/chart" uri="{C3380CC4-5D6E-409C-BE32-E72D297353CC}">
              <c16:uniqueId val="{00000000-85D6-4046-813E-731FD7E094A3}"/>
            </c:ext>
          </c:extLst>
        </c:ser>
        <c:ser>
          <c:idx val="1"/>
          <c:order val="1"/>
          <c:tx>
            <c:v>Devengado</c:v>
          </c:tx>
          <c:spPr>
            <a:solidFill>
              <a:schemeClr val="accent2"/>
            </a:solidFill>
            <a:ln>
              <a:noFill/>
            </a:ln>
            <a:effectLst/>
            <a:sp3d/>
          </c:spPr>
          <c:invertIfNegative val="0"/>
          <c:cat>
            <c:strRef>
              <c:f>'Vinculaciones Centralizadas (3)'!$C$6:$C$26</c:f>
              <c:strCache>
                <c:ptCount val="18"/>
                <c:pt idx="0">
                  <c:v>MAGA</c:v>
                </c:pt>
                <c:pt idx="1">
                  <c:v>MARN</c:v>
                </c:pt>
                <c:pt idx="2">
                  <c:v>MCD</c:v>
                </c:pt>
                <c:pt idx="3">
                  <c:v>MIDES</c:v>
                </c:pt>
                <c:pt idx="4">
                  <c:v>MINECO</c:v>
                </c:pt>
                <c:pt idx="5">
                  <c:v>MINEDUC</c:v>
                </c:pt>
                <c:pt idx="6">
                  <c:v>MEM</c:v>
                </c:pt>
                <c:pt idx="7">
                  <c:v>MINGOB</c:v>
                </c:pt>
                <c:pt idx="8">
                  <c:v>MINEX</c:v>
                </c:pt>
                <c:pt idx="9">
                  <c:v>MSPAS</c:v>
                </c:pt>
                <c:pt idx="10">
                  <c:v>MINTRAB</c:v>
                </c:pt>
                <c:pt idx="11">
                  <c:v>PGN</c:v>
                </c:pt>
                <c:pt idx="12">
                  <c:v>SOSEP</c:v>
                </c:pt>
                <c:pt idx="13">
                  <c:v>SENACYT</c:v>
                </c:pt>
                <c:pt idx="14">
                  <c:v>COPADEH</c:v>
                </c:pt>
                <c:pt idx="15">
                  <c:v>ONSEC</c:v>
                </c:pt>
                <c:pt idx="16">
                  <c:v>SBS</c:v>
                </c:pt>
                <c:pt idx="17">
                  <c:v>SEPREM</c:v>
                </c:pt>
              </c:strCache>
            </c:strRef>
          </c:cat>
          <c:val>
            <c:numRef>
              <c:f>'Vinculaciones Centralizadas (3)'!$E$6:$E$26</c:f>
              <c:numCache>
                <c:formatCode>_-"Q"* #,##0.0_-;\-"Q"* #,##0.0_-;_-"Q"* "-"??_-;_-@_-</c:formatCode>
                <c:ptCount val="18"/>
                <c:pt idx="0">
                  <c:v>11768235.039999999</c:v>
                </c:pt>
                <c:pt idx="1">
                  <c:v>499228.07</c:v>
                </c:pt>
                <c:pt idx="2">
                  <c:v>11743282.720000001</c:v>
                </c:pt>
                <c:pt idx="3">
                  <c:v>87943857.110000014</c:v>
                </c:pt>
                <c:pt idx="4">
                  <c:v>16251263.99</c:v>
                </c:pt>
                <c:pt idx="5">
                  <c:v>6358069.0499999998</c:v>
                </c:pt>
                <c:pt idx="6">
                  <c:v>569984.39</c:v>
                </c:pt>
                <c:pt idx="7">
                  <c:v>1677037052.0899999</c:v>
                </c:pt>
                <c:pt idx="8">
                  <c:v>82099814.829999998</c:v>
                </c:pt>
                <c:pt idx="9">
                  <c:v>358730557.88999999</c:v>
                </c:pt>
                <c:pt idx="10">
                  <c:v>2333171.86</c:v>
                </c:pt>
                <c:pt idx="11">
                  <c:v>578914.14</c:v>
                </c:pt>
                <c:pt idx="12">
                  <c:v>3657325.47</c:v>
                </c:pt>
                <c:pt idx="13">
                  <c:v>89174.15</c:v>
                </c:pt>
                <c:pt idx="14">
                  <c:v>624326.82999999996</c:v>
                </c:pt>
                <c:pt idx="15">
                  <c:v>4355358.3</c:v>
                </c:pt>
                <c:pt idx="16">
                  <c:v>16751411.75</c:v>
                </c:pt>
                <c:pt idx="17">
                  <c:v>8006658.8500000006</c:v>
                </c:pt>
              </c:numCache>
            </c:numRef>
          </c:val>
          <c:extLst>
            <c:ext xmlns:c16="http://schemas.microsoft.com/office/drawing/2014/chart" uri="{C3380CC4-5D6E-409C-BE32-E72D297353CC}">
              <c16:uniqueId val="{00000001-85D6-4046-813E-731FD7E094A3}"/>
            </c:ext>
          </c:extLst>
        </c:ser>
        <c:dLbls>
          <c:showLegendKey val="0"/>
          <c:showVal val="0"/>
          <c:showCatName val="0"/>
          <c:showSerName val="0"/>
          <c:showPercent val="0"/>
          <c:showBubbleSize val="0"/>
        </c:dLbls>
        <c:gapWidth val="150"/>
        <c:shape val="box"/>
        <c:axId val="489334256"/>
        <c:axId val="489335040"/>
        <c:axId val="0"/>
      </c:bar3DChart>
      <c:catAx>
        <c:axId val="489334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GT"/>
                  <a:t>Entidades</a:t>
                </a:r>
                <a:r>
                  <a:rPr lang="es-GT" baseline="0"/>
                  <a:t> Centralizadas</a:t>
                </a:r>
                <a:endParaRPr lang="es-GT"/>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G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89335040"/>
        <c:crossesAt val="0"/>
        <c:auto val="1"/>
        <c:lblAlgn val="ctr"/>
        <c:lblOffset val="100"/>
        <c:noMultiLvlLbl val="0"/>
      </c:catAx>
      <c:valAx>
        <c:axId val="489335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GT"/>
                  <a:t>Ciantidad</a:t>
                </a:r>
                <a:r>
                  <a:rPr lang="es-GT" baseline="0"/>
                  <a:t> Monetaria.</a:t>
                </a:r>
                <a:endParaRPr lang="es-GT"/>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GT"/>
            </a:p>
          </c:txPr>
        </c:title>
        <c:numFmt formatCode="_-&quot;Q&quot;* #,##0.0_-;\-&quot;Q&quot;* #,##0.0_-;_-&quot;Q&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89334256"/>
        <c:crosses val="autoZero"/>
        <c:crossBetween val="between"/>
      </c:valAx>
      <c:spPr>
        <a:noFill/>
        <a:ln>
          <a:noFill/>
        </a:ln>
        <a:effectLst/>
      </c:spPr>
    </c:plotArea>
    <c:legend>
      <c:legendPos val="b"/>
      <c:layout>
        <c:manualLayout>
          <c:xMode val="edge"/>
          <c:yMode val="edge"/>
          <c:x val="0.399969946271233"/>
          <c:y val="0.91623339124518977"/>
          <c:w val="0.28043381571383197"/>
          <c:h val="6.506530852359614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GT"/>
              <a:t>Presupuesto Vinculado a la PNPDIM </a:t>
            </a:r>
          </a:p>
          <a:p>
            <a:pPr>
              <a:defRPr/>
            </a:pPr>
            <a:r>
              <a:rPr lang="es-GT"/>
              <a:t>Entidades Descentralizadas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v>Asignado</c:v>
          </c:tx>
          <c:spPr>
            <a:solidFill>
              <a:schemeClr val="accent1"/>
            </a:solidFill>
            <a:ln>
              <a:noFill/>
            </a:ln>
            <a:effectLst/>
          </c:spPr>
          <c:invertIfNegative val="0"/>
          <c:cat>
            <c:strRef>
              <c:f>'Vinculaciones Descentralizadas'!$C$6:$C$19</c:f>
              <c:strCache>
                <c:ptCount val="14"/>
                <c:pt idx="0">
                  <c:v>FONTIERRAS</c:v>
                </c:pt>
                <c:pt idx="1">
                  <c:v> CONRED</c:v>
                </c:pt>
                <c:pt idx="2">
                  <c:v>INAB</c:v>
                </c:pt>
                <c:pt idx="3">
                  <c:v>PDH</c:v>
                </c:pt>
                <c:pt idx="4">
                  <c:v>CONALFA</c:v>
                </c:pt>
                <c:pt idx="5">
                  <c:v> INFOM</c:v>
                </c:pt>
                <c:pt idx="6">
                  <c:v>OJ</c:v>
                </c:pt>
                <c:pt idx="7">
                  <c:v>INACIF</c:v>
                </c:pt>
                <c:pt idx="8">
                  <c:v>CNA</c:v>
                </c:pt>
                <c:pt idx="9">
                  <c:v>COG</c:v>
                </c:pt>
                <c:pt idx="10">
                  <c:v> COPEREX</c:v>
                </c:pt>
                <c:pt idx="11">
                  <c:v> IPM</c:v>
                </c:pt>
                <c:pt idx="12">
                  <c:v> TSE</c:v>
                </c:pt>
                <c:pt idx="13">
                  <c:v>RENAP</c:v>
                </c:pt>
              </c:strCache>
            </c:strRef>
          </c:cat>
          <c:val>
            <c:numRef>
              <c:f>'Vinculaciones Descentralizadas'!$D$6:$D$19</c:f>
              <c:numCache>
                <c:formatCode>_("Q"* #,##0.00_);_("Q"* \(#,##0.00\);_("Q"* "-"??_);_(@_)</c:formatCode>
                <c:ptCount val="14"/>
                <c:pt idx="0">
                  <c:v>172842135</c:v>
                </c:pt>
                <c:pt idx="1">
                  <c:v>3180955</c:v>
                </c:pt>
                <c:pt idx="2">
                  <c:v>38243031</c:v>
                </c:pt>
                <c:pt idx="3">
                  <c:v>6076703</c:v>
                </c:pt>
                <c:pt idx="4">
                  <c:v>139951358</c:v>
                </c:pt>
                <c:pt idx="5">
                  <c:v>11212763</c:v>
                </c:pt>
                <c:pt idx="6">
                  <c:v>435936511</c:v>
                </c:pt>
                <c:pt idx="7">
                  <c:v>196099437</c:v>
                </c:pt>
                <c:pt idx="8">
                  <c:v>1948467</c:v>
                </c:pt>
                <c:pt idx="9">
                  <c:v>26450000</c:v>
                </c:pt>
                <c:pt idx="10">
                  <c:v>3216912</c:v>
                </c:pt>
                <c:pt idx="11">
                  <c:v>297185667</c:v>
                </c:pt>
                <c:pt idx="12">
                  <c:v>401421</c:v>
                </c:pt>
                <c:pt idx="13">
                  <c:v>217938404</c:v>
                </c:pt>
              </c:numCache>
            </c:numRef>
          </c:val>
          <c:extLst>
            <c:ext xmlns:c16="http://schemas.microsoft.com/office/drawing/2014/chart" uri="{C3380CC4-5D6E-409C-BE32-E72D297353CC}">
              <c16:uniqueId val="{00000000-4B94-49CE-9F7E-4D0D3F932A24}"/>
            </c:ext>
          </c:extLst>
        </c:ser>
        <c:ser>
          <c:idx val="1"/>
          <c:order val="1"/>
          <c:tx>
            <c:v>Vigente</c:v>
          </c:tx>
          <c:spPr>
            <a:solidFill>
              <a:schemeClr val="accent2"/>
            </a:solidFill>
            <a:ln>
              <a:noFill/>
            </a:ln>
            <a:effectLst/>
          </c:spPr>
          <c:invertIfNegative val="0"/>
          <c:cat>
            <c:strRef>
              <c:f>'Vinculaciones Descentralizadas'!$C$6:$C$19</c:f>
              <c:strCache>
                <c:ptCount val="14"/>
                <c:pt idx="0">
                  <c:v>FONTIERRAS</c:v>
                </c:pt>
                <c:pt idx="1">
                  <c:v> CONRED</c:v>
                </c:pt>
                <c:pt idx="2">
                  <c:v>INAB</c:v>
                </c:pt>
                <c:pt idx="3">
                  <c:v>PDH</c:v>
                </c:pt>
                <c:pt idx="4">
                  <c:v>CONALFA</c:v>
                </c:pt>
                <c:pt idx="5">
                  <c:v> INFOM</c:v>
                </c:pt>
                <c:pt idx="6">
                  <c:v>OJ</c:v>
                </c:pt>
                <c:pt idx="7">
                  <c:v>INACIF</c:v>
                </c:pt>
                <c:pt idx="8">
                  <c:v>CNA</c:v>
                </c:pt>
                <c:pt idx="9">
                  <c:v>COG</c:v>
                </c:pt>
                <c:pt idx="10">
                  <c:v> COPEREX</c:v>
                </c:pt>
                <c:pt idx="11">
                  <c:v> IPM</c:v>
                </c:pt>
                <c:pt idx="12">
                  <c:v> TSE</c:v>
                </c:pt>
                <c:pt idx="13">
                  <c:v>RENAP</c:v>
                </c:pt>
              </c:strCache>
            </c:strRef>
          </c:cat>
          <c:val>
            <c:numRef>
              <c:f>'Vinculaciones Descentralizadas'!$E$6:$E$19</c:f>
              <c:numCache>
                <c:formatCode>_("Q"* #,##0.00_);_("Q"* \(#,##0.00\);_("Q"* "-"??_);_(@_)</c:formatCode>
                <c:ptCount val="14"/>
                <c:pt idx="0">
                  <c:v>177751335</c:v>
                </c:pt>
                <c:pt idx="1">
                  <c:v>3180955</c:v>
                </c:pt>
                <c:pt idx="2">
                  <c:v>36159757.609999999</c:v>
                </c:pt>
                <c:pt idx="3">
                  <c:v>5887503</c:v>
                </c:pt>
                <c:pt idx="4">
                  <c:v>243071927</c:v>
                </c:pt>
                <c:pt idx="5">
                  <c:v>101466567</c:v>
                </c:pt>
                <c:pt idx="6">
                  <c:v>574716888.75</c:v>
                </c:pt>
                <c:pt idx="7">
                  <c:v>206228455.19</c:v>
                </c:pt>
                <c:pt idx="8">
                  <c:v>1963175</c:v>
                </c:pt>
                <c:pt idx="9">
                  <c:v>51961328.170000002</c:v>
                </c:pt>
                <c:pt idx="10">
                  <c:v>3692612</c:v>
                </c:pt>
                <c:pt idx="11">
                  <c:v>436786620</c:v>
                </c:pt>
                <c:pt idx="12">
                  <c:v>570072.77</c:v>
                </c:pt>
                <c:pt idx="13">
                  <c:v>194224104</c:v>
                </c:pt>
              </c:numCache>
            </c:numRef>
          </c:val>
          <c:extLst>
            <c:ext xmlns:c16="http://schemas.microsoft.com/office/drawing/2014/chart" uri="{C3380CC4-5D6E-409C-BE32-E72D297353CC}">
              <c16:uniqueId val="{00000001-4B94-49CE-9F7E-4D0D3F932A24}"/>
            </c:ext>
          </c:extLst>
        </c:ser>
        <c:ser>
          <c:idx val="2"/>
          <c:order val="2"/>
          <c:tx>
            <c:v>Devengado</c:v>
          </c:tx>
          <c:spPr>
            <a:solidFill>
              <a:schemeClr val="accent3"/>
            </a:solidFill>
            <a:ln>
              <a:noFill/>
            </a:ln>
            <a:effectLst/>
          </c:spPr>
          <c:invertIfNegative val="0"/>
          <c:cat>
            <c:strRef>
              <c:f>'Vinculaciones Descentralizadas'!$C$6:$C$19</c:f>
              <c:strCache>
                <c:ptCount val="14"/>
                <c:pt idx="0">
                  <c:v>FONTIERRAS</c:v>
                </c:pt>
                <c:pt idx="1">
                  <c:v> CONRED</c:v>
                </c:pt>
                <c:pt idx="2">
                  <c:v>INAB</c:v>
                </c:pt>
                <c:pt idx="3">
                  <c:v>PDH</c:v>
                </c:pt>
                <c:pt idx="4">
                  <c:v>CONALFA</c:v>
                </c:pt>
                <c:pt idx="5">
                  <c:v> INFOM</c:v>
                </c:pt>
                <c:pt idx="6">
                  <c:v>OJ</c:v>
                </c:pt>
                <c:pt idx="7">
                  <c:v>INACIF</c:v>
                </c:pt>
                <c:pt idx="8">
                  <c:v>CNA</c:v>
                </c:pt>
                <c:pt idx="9">
                  <c:v>COG</c:v>
                </c:pt>
                <c:pt idx="10">
                  <c:v> COPEREX</c:v>
                </c:pt>
                <c:pt idx="11">
                  <c:v> IPM</c:v>
                </c:pt>
                <c:pt idx="12">
                  <c:v> TSE</c:v>
                </c:pt>
                <c:pt idx="13">
                  <c:v>RENAP</c:v>
                </c:pt>
              </c:strCache>
            </c:strRef>
          </c:cat>
          <c:val>
            <c:numRef>
              <c:f>'Vinculaciones Descentralizadas'!$F$6:$F$19</c:f>
              <c:numCache>
                <c:formatCode>_("Q"* #,##0.00_);_("Q"* \(#,##0.00\);_("Q"* "-"??_);_(@_)</c:formatCode>
                <c:ptCount val="14"/>
                <c:pt idx="0">
                  <c:v>61655895.289999999</c:v>
                </c:pt>
                <c:pt idx="1">
                  <c:v>1451592.04</c:v>
                </c:pt>
                <c:pt idx="2">
                  <c:v>12092147.82</c:v>
                </c:pt>
                <c:pt idx="3">
                  <c:v>2028846.58</c:v>
                </c:pt>
                <c:pt idx="4">
                  <c:v>57063230.439999998</c:v>
                </c:pt>
                <c:pt idx="5">
                  <c:v>40280823.020000003</c:v>
                </c:pt>
                <c:pt idx="6">
                  <c:v>247111923.03999999</c:v>
                </c:pt>
                <c:pt idx="7">
                  <c:v>71153444.650000006</c:v>
                </c:pt>
                <c:pt idx="8">
                  <c:v>767825.03</c:v>
                </c:pt>
                <c:pt idx="9">
                  <c:v>22320461.239999998</c:v>
                </c:pt>
                <c:pt idx="10">
                  <c:v>518706</c:v>
                </c:pt>
                <c:pt idx="11">
                  <c:v>160811564.74000001</c:v>
                </c:pt>
                <c:pt idx="12">
                  <c:v>124869.94</c:v>
                </c:pt>
                <c:pt idx="13">
                  <c:v>50617087.509999998</c:v>
                </c:pt>
              </c:numCache>
            </c:numRef>
          </c:val>
          <c:extLst>
            <c:ext xmlns:c16="http://schemas.microsoft.com/office/drawing/2014/chart" uri="{C3380CC4-5D6E-409C-BE32-E72D297353CC}">
              <c16:uniqueId val="{00000002-4B94-49CE-9F7E-4D0D3F932A24}"/>
            </c:ext>
          </c:extLst>
        </c:ser>
        <c:dLbls>
          <c:showLegendKey val="0"/>
          <c:showVal val="0"/>
          <c:showCatName val="0"/>
          <c:showSerName val="0"/>
          <c:showPercent val="0"/>
          <c:showBubbleSize val="0"/>
        </c:dLbls>
        <c:gapWidth val="219"/>
        <c:overlap val="-27"/>
        <c:axId val="489336216"/>
        <c:axId val="489329160"/>
      </c:barChart>
      <c:catAx>
        <c:axId val="489336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89329160"/>
        <c:crosses val="autoZero"/>
        <c:auto val="1"/>
        <c:lblAlgn val="ctr"/>
        <c:lblOffset val="100"/>
        <c:noMultiLvlLbl val="0"/>
      </c:catAx>
      <c:valAx>
        <c:axId val="489329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GT"/>
                  <a:t>Cantidad Monetaria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GT"/>
            </a:p>
          </c:txPr>
        </c:title>
        <c:numFmt formatCode="_(&quot;Q&quot;* #,##0.00_);_(&quot;Q&quot;* \(#,##0.00\);_(&quot;Q&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89336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sz="1400" b="0"/>
              <a:t>Vinculación</a:t>
            </a:r>
            <a:r>
              <a:rPr lang="es-GT" sz="1400" b="0" baseline="0"/>
              <a:t> y ejecución de </a:t>
            </a:r>
            <a:r>
              <a:rPr lang="es-GT" sz="1400" b="0"/>
              <a:t>Presupuesto al CPEG Nivel Departamental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v>Asignado</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'Presupuesto Municipal Vinculado'!$B$5:$B$26</c:f>
              <c:strCache>
                <c:ptCount val="22"/>
                <c:pt idx="0">
                  <c:v>Guatemala</c:v>
                </c:pt>
                <c:pt idx="1">
                  <c:v>El Progreso</c:v>
                </c:pt>
                <c:pt idx="2">
                  <c:v>Sacatepéquez</c:v>
                </c:pt>
                <c:pt idx="3">
                  <c:v>Chimaltenango</c:v>
                </c:pt>
                <c:pt idx="4">
                  <c:v>Escuintla</c:v>
                </c:pt>
                <c:pt idx="5">
                  <c:v>Santa Rosa</c:v>
                </c:pt>
                <c:pt idx="6">
                  <c:v>Sololá </c:v>
                </c:pt>
                <c:pt idx="7">
                  <c:v>Totonicapán</c:v>
                </c:pt>
                <c:pt idx="8">
                  <c:v>Quetzaltenango</c:v>
                </c:pt>
                <c:pt idx="9">
                  <c:v>Suchitepéquez</c:v>
                </c:pt>
                <c:pt idx="10">
                  <c:v>Retalhuleu</c:v>
                </c:pt>
                <c:pt idx="11">
                  <c:v>San Marcos</c:v>
                </c:pt>
                <c:pt idx="12">
                  <c:v>Huehuetenango</c:v>
                </c:pt>
                <c:pt idx="13">
                  <c:v>El Quiché</c:v>
                </c:pt>
                <c:pt idx="14">
                  <c:v>Baja Verapaz</c:v>
                </c:pt>
                <c:pt idx="15">
                  <c:v>Alta Verapaz</c:v>
                </c:pt>
                <c:pt idx="16">
                  <c:v>El Petén</c:v>
                </c:pt>
                <c:pt idx="17">
                  <c:v>Izabal</c:v>
                </c:pt>
                <c:pt idx="18">
                  <c:v>Zacapa</c:v>
                </c:pt>
                <c:pt idx="19">
                  <c:v>Chiquimula</c:v>
                </c:pt>
                <c:pt idx="20">
                  <c:v>Jalapa</c:v>
                </c:pt>
                <c:pt idx="21">
                  <c:v>Jutiapa</c:v>
                </c:pt>
              </c:strCache>
            </c:strRef>
          </c:cat>
          <c:val>
            <c:numRef>
              <c:f>'Presupuesto Municipal Vinculado'!$C$5:$C$26</c:f>
              <c:numCache>
                <c:formatCode>_("Q"* #,##0.00_);_("Q"* \(#,##0.00\);_("Q"* "-"??_);_(@_)</c:formatCode>
                <c:ptCount val="22"/>
                <c:pt idx="0">
                  <c:v>348646181.45999998</c:v>
                </c:pt>
                <c:pt idx="1">
                  <c:v>20584955.489999998</c:v>
                </c:pt>
                <c:pt idx="2">
                  <c:v>147013087.81</c:v>
                </c:pt>
                <c:pt idx="3">
                  <c:v>22305171.91</c:v>
                </c:pt>
                <c:pt idx="4">
                  <c:v>158949048.97999999</c:v>
                </c:pt>
                <c:pt idx="5">
                  <c:v>45498847.090000004</c:v>
                </c:pt>
                <c:pt idx="6">
                  <c:v>32799506.739999998</c:v>
                </c:pt>
                <c:pt idx="7">
                  <c:v>14169440.49</c:v>
                </c:pt>
                <c:pt idx="8">
                  <c:v>83101396.430000007</c:v>
                </c:pt>
                <c:pt idx="9">
                  <c:v>28342091.16</c:v>
                </c:pt>
                <c:pt idx="10">
                  <c:v>7108965.5499999998</c:v>
                </c:pt>
                <c:pt idx="11">
                  <c:v>16047917.02</c:v>
                </c:pt>
                <c:pt idx="12">
                  <c:v>72710819.150000006</c:v>
                </c:pt>
                <c:pt idx="13">
                  <c:v>26263874.579999998</c:v>
                </c:pt>
                <c:pt idx="14">
                  <c:v>1500784.66</c:v>
                </c:pt>
                <c:pt idx="15">
                  <c:v>6357216.0599999996</c:v>
                </c:pt>
                <c:pt idx="16">
                  <c:v>51954334.369999997</c:v>
                </c:pt>
                <c:pt idx="17">
                  <c:v>789714</c:v>
                </c:pt>
                <c:pt idx="18">
                  <c:v>1204799.45</c:v>
                </c:pt>
                <c:pt idx="19">
                  <c:v>32431434.75</c:v>
                </c:pt>
                <c:pt idx="20">
                  <c:v>1710806.72</c:v>
                </c:pt>
                <c:pt idx="21">
                  <c:v>19673375.789999999</c:v>
                </c:pt>
              </c:numCache>
            </c:numRef>
          </c:val>
          <c:extLst>
            <c:ext xmlns:c16="http://schemas.microsoft.com/office/drawing/2014/chart" uri="{C3380CC4-5D6E-409C-BE32-E72D297353CC}">
              <c16:uniqueId val="{00000000-F38E-4ED6-BED5-DED630A135DB}"/>
            </c:ext>
          </c:extLst>
        </c:ser>
        <c:ser>
          <c:idx val="1"/>
          <c:order val="1"/>
          <c:tx>
            <c:v>Vigente</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'Presupuesto Municipal Vinculado'!$B$5:$B$26</c:f>
              <c:strCache>
                <c:ptCount val="22"/>
                <c:pt idx="0">
                  <c:v>Guatemala</c:v>
                </c:pt>
                <c:pt idx="1">
                  <c:v>El Progreso</c:v>
                </c:pt>
                <c:pt idx="2">
                  <c:v>Sacatepéquez</c:v>
                </c:pt>
                <c:pt idx="3">
                  <c:v>Chimaltenango</c:v>
                </c:pt>
                <c:pt idx="4">
                  <c:v>Escuintla</c:v>
                </c:pt>
                <c:pt idx="5">
                  <c:v>Santa Rosa</c:v>
                </c:pt>
                <c:pt idx="6">
                  <c:v>Sololá </c:v>
                </c:pt>
                <c:pt idx="7">
                  <c:v>Totonicapán</c:v>
                </c:pt>
                <c:pt idx="8">
                  <c:v>Quetzaltenango</c:v>
                </c:pt>
                <c:pt idx="9">
                  <c:v>Suchitepéquez</c:v>
                </c:pt>
                <c:pt idx="10">
                  <c:v>Retalhuleu</c:v>
                </c:pt>
                <c:pt idx="11">
                  <c:v>San Marcos</c:v>
                </c:pt>
                <c:pt idx="12">
                  <c:v>Huehuetenango</c:v>
                </c:pt>
                <c:pt idx="13">
                  <c:v>El Quiché</c:v>
                </c:pt>
                <c:pt idx="14">
                  <c:v>Baja Verapaz</c:v>
                </c:pt>
                <c:pt idx="15">
                  <c:v>Alta Verapaz</c:v>
                </c:pt>
                <c:pt idx="16">
                  <c:v>El Petén</c:v>
                </c:pt>
                <c:pt idx="17">
                  <c:v>Izabal</c:v>
                </c:pt>
                <c:pt idx="18">
                  <c:v>Zacapa</c:v>
                </c:pt>
                <c:pt idx="19">
                  <c:v>Chiquimula</c:v>
                </c:pt>
                <c:pt idx="20">
                  <c:v>Jalapa</c:v>
                </c:pt>
                <c:pt idx="21">
                  <c:v>Jutiapa</c:v>
                </c:pt>
              </c:strCache>
            </c:strRef>
          </c:cat>
          <c:val>
            <c:numRef>
              <c:f>'Presupuesto Municipal Vinculado'!$D$5:$D$26</c:f>
              <c:numCache>
                <c:formatCode>_("Q"* #,##0.00_);_("Q"* \(#,##0.00\);_("Q"* "-"??_);_(@_)</c:formatCode>
                <c:ptCount val="22"/>
                <c:pt idx="0">
                  <c:v>481321102.25000024</c:v>
                </c:pt>
                <c:pt idx="1">
                  <c:v>22084039.850000005</c:v>
                </c:pt>
                <c:pt idx="2">
                  <c:v>190320987.82999998</c:v>
                </c:pt>
                <c:pt idx="3">
                  <c:v>20299640.350000001</c:v>
                </c:pt>
                <c:pt idx="4">
                  <c:v>197180830.03999999</c:v>
                </c:pt>
                <c:pt idx="5">
                  <c:v>62643949.800000004</c:v>
                </c:pt>
                <c:pt idx="6">
                  <c:v>40166130.069999993</c:v>
                </c:pt>
                <c:pt idx="7">
                  <c:v>52836075.539999992</c:v>
                </c:pt>
                <c:pt idx="8">
                  <c:v>236784230.47000006</c:v>
                </c:pt>
                <c:pt idx="9">
                  <c:v>25785828.320000004</c:v>
                </c:pt>
                <c:pt idx="10">
                  <c:v>7389236.6500000004</c:v>
                </c:pt>
                <c:pt idx="11">
                  <c:v>27823238.259999994</c:v>
                </c:pt>
                <c:pt idx="12">
                  <c:v>113143577.09999998</c:v>
                </c:pt>
                <c:pt idx="13">
                  <c:v>38188749.290000014</c:v>
                </c:pt>
                <c:pt idx="14">
                  <c:v>1596934.1300000004</c:v>
                </c:pt>
                <c:pt idx="15">
                  <c:v>6624234.0600000005</c:v>
                </c:pt>
                <c:pt idx="16">
                  <c:v>102567427.25</c:v>
                </c:pt>
                <c:pt idx="17">
                  <c:v>764714</c:v>
                </c:pt>
                <c:pt idx="18">
                  <c:v>1210965.4500000002</c:v>
                </c:pt>
                <c:pt idx="19">
                  <c:v>29281599.940000005</c:v>
                </c:pt>
                <c:pt idx="20">
                  <c:v>1638046.72</c:v>
                </c:pt>
                <c:pt idx="21">
                  <c:v>41554562.07</c:v>
                </c:pt>
              </c:numCache>
            </c:numRef>
          </c:val>
          <c:extLst>
            <c:ext xmlns:c16="http://schemas.microsoft.com/office/drawing/2014/chart" uri="{C3380CC4-5D6E-409C-BE32-E72D297353CC}">
              <c16:uniqueId val="{00000001-F38E-4ED6-BED5-DED630A135DB}"/>
            </c:ext>
          </c:extLst>
        </c:ser>
        <c:ser>
          <c:idx val="2"/>
          <c:order val="2"/>
          <c:tx>
            <c:v>Ejecutado</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'Presupuesto Municipal Vinculado'!$B$5:$B$26</c:f>
              <c:strCache>
                <c:ptCount val="22"/>
                <c:pt idx="0">
                  <c:v>Guatemala</c:v>
                </c:pt>
                <c:pt idx="1">
                  <c:v>El Progreso</c:v>
                </c:pt>
                <c:pt idx="2">
                  <c:v>Sacatepéquez</c:v>
                </c:pt>
                <c:pt idx="3">
                  <c:v>Chimaltenango</c:v>
                </c:pt>
                <c:pt idx="4">
                  <c:v>Escuintla</c:v>
                </c:pt>
                <c:pt idx="5">
                  <c:v>Santa Rosa</c:v>
                </c:pt>
                <c:pt idx="6">
                  <c:v>Sololá </c:v>
                </c:pt>
                <c:pt idx="7">
                  <c:v>Totonicapán</c:v>
                </c:pt>
                <c:pt idx="8">
                  <c:v>Quetzaltenango</c:v>
                </c:pt>
                <c:pt idx="9">
                  <c:v>Suchitepéquez</c:v>
                </c:pt>
                <c:pt idx="10">
                  <c:v>Retalhuleu</c:v>
                </c:pt>
                <c:pt idx="11">
                  <c:v>San Marcos</c:v>
                </c:pt>
                <c:pt idx="12">
                  <c:v>Huehuetenango</c:v>
                </c:pt>
                <c:pt idx="13">
                  <c:v>El Quiché</c:v>
                </c:pt>
                <c:pt idx="14">
                  <c:v>Baja Verapaz</c:v>
                </c:pt>
                <c:pt idx="15">
                  <c:v>Alta Verapaz</c:v>
                </c:pt>
                <c:pt idx="16">
                  <c:v>El Petén</c:v>
                </c:pt>
                <c:pt idx="17">
                  <c:v>Izabal</c:v>
                </c:pt>
                <c:pt idx="18">
                  <c:v>Zacapa</c:v>
                </c:pt>
                <c:pt idx="19">
                  <c:v>Chiquimula</c:v>
                </c:pt>
                <c:pt idx="20">
                  <c:v>Jalapa</c:v>
                </c:pt>
                <c:pt idx="21">
                  <c:v>Jutiapa</c:v>
                </c:pt>
              </c:strCache>
            </c:strRef>
          </c:cat>
          <c:val>
            <c:numRef>
              <c:f>'Presupuesto Municipal Vinculado'!$E$5:$E$26</c:f>
              <c:numCache>
                <c:formatCode>_("Q"* #,##0.00_);_("Q"* \(#,##0.00\);_("Q"* "-"??_);_(@_)</c:formatCode>
                <c:ptCount val="22"/>
                <c:pt idx="0">
                  <c:v>142658187.81000006</c:v>
                </c:pt>
                <c:pt idx="1">
                  <c:v>9049854.3199999966</c:v>
                </c:pt>
                <c:pt idx="2">
                  <c:v>90671593.723329887</c:v>
                </c:pt>
                <c:pt idx="3">
                  <c:v>9219345.1299999971</c:v>
                </c:pt>
                <c:pt idx="4">
                  <c:v>94641303.589999974</c:v>
                </c:pt>
                <c:pt idx="5">
                  <c:v>25468317.229999993</c:v>
                </c:pt>
                <c:pt idx="6">
                  <c:v>17149878.499999996</c:v>
                </c:pt>
                <c:pt idx="7">
                  <c:v>21887642.449999996</c:v>
                </c:pt>
                <c:pt idx="8">
                  <c:v>77925116.050000042</c:v>
                </c:pt>
                <c:pt idx="9">
                  <c:v>14122793.180000005</c:v>
                </c:pt>
                <c:pt idx="10">
                  <c:v>3671817.2300000004</c:v>
                </c:pt>
                <c:pt idx="11">
                  <c:v>11186603.989999998</c:v>
                </c:pt>
                <c:pt idx="12">
                  <c:v>43364614.339999974</c:v>
                </c:pt>
                <c:pt idx="13">
                  <c:v>15530976.339999998</c:v>
                </c:pt>
                <c:pt idx="14">
                  <c:v>449001.92000000004</c:v>
                </c:pt>
                <c:pt idx="15">
                  <c:v>909084.93999999983</c:v>
                </c:pt>
                <c:pt idx="16">
                  <c:v>50667441.5</c:v>
                </c:pt>
                <c:pt idx="17">
                  <c:v>398801.54000000004</c:v>
                </c:pt>
                <c:pt idx="18">
                  <c:v>579469.86</c:v>
                </c:pt>
                <c:pt idx="19">
                  <c:v>9616258.6100000013</c:v>
                </c:pt>
                <c:pt idx="20">
                  <c:v>781260.12</c:v>
                </c:pt>
                <c:pt idx="21">
                  <c:v>13752796.540000001</c:v>
                </c:pt>
              </c:numCache>
            </c:numRef>
          </c:val>
          <c:extLst>
            <c:ext xmlns:c16="http://schemas.microsoft.com/office/drawing/2014/chart" uri="{C3380CC4-5D6E-409C-BE32-E72D297353CC}">
              <c16:uniqueId val="{00000002-F38E-4ED6-BED5-DED630A135DB}"/>
            </c:ext>
          </c:extLst>
        </c:ser>
        <c:dLbls>
          <c:showLegendKey val="0"/>
          <c:showVal val="0"/>
          <c:showCatName val="0"/>
          <c:showSerName val="0"/>
          <c:showPercent val="0"/>
          <c:showBubbleSize val="0"/>
        </c:dLbls>
        <c:gapWidth val="100"/>
        <c:overlap val="-24"/>
        <c:axId val="489330336"/>
        <c:axId val="489329552"/>
      </c:barChart>
      <c:catAx>
        <c:axId val="48933033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GT"/>
                  <a:t>Departamentos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89329552"/>
        <c:crossesAt val="75000"/>
        <c:auto val="1"/>
        <c:lblAlgn val="ctr"/>
        <c:lblOffset val="100"/>
        <c:noMultiLvlLbl val="0"/>
      </c:catAx>
      <c:valAx>
        <c:axId val="489329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GT"/>
                  <a:t>Cantidad Monetaria</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title>
        <c:numFmt formatCode="_(&quot;Q&quot;* #,##0.00_);_(&quot;Q&quot;* \(#,##0.00\);_(&quot;Q&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89330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MIN18</b:Tag>
    <b:SourceType>Report</b:SourceType>
    <b:Guid>{8D309B4F-2989-48ED-ACD0-63A955837519}</b:Guid>
    <b:Author>
      <b:Author>
        <b:NameList>
          <b:Person>
            <b:Last>MINFIN</b:Last>
          </b:Person>
        </b:NameList>
      </b:Author>
    </b:Author>
    <b:Title>Manual de Clasificadores Presupuestarios para el Sector Público de Guatemala.</b:Title>
    <b:Year>2018</b:Year>
    <b:City>Guatemala</b:City>
    <b:RefOrder>1</b:RefOrder>
  </b:Source>
  <b:Source>
    <b:Tag>Sec09</b:Tag>
    <b:SourceType>Report</b:SourceType>
    <b:Guid>{667CC9D9-C7CE-4F57-93A4-4B66541A3FA4}</b:Guid>
    <b:Author>
      <b:Author>
        <b:NameList>
          <b:Person>
            <b:Last>SEPREM</b:Last>
          </b:Person>
        </b:NameList>
      </b:Author>
    </b:Author>
    <b:Title>Politica Nacional de Promción y Desarrollo Integral de las Mujeres y Plan de Equidad de Oportunidades  2008 - 2023</b:Title>
    <b:Year>2009</b:Year>
    <b:Publisher>Gobierno de la Reública</b:Publisher>
    <b:City>Guatemala</b:City>
    <b:RefOrder>2</b:RefOrder>
  </b:Source>
  <b:Source>
    <b:Tag>SEP</b:Tag>
    <b:SourceType>Report</b:SourceType>
    <b:Guid>{7EFDE19A-F40B-4C32-807D-4BCFEEBBC2E9}</b:Guid>
    <b:Author>
      <b:Author>
        <b:NameList>
          <b:Person>
            <b:Last>SEPREM</b:Last>
          </b:Person>
        </b:NameList>
      </b:Author>
    </b:Author>
    <b:Title>Manual del Clasificaor Presupuestario con Enfoque de Género.</b:Title>
    <b:City>Guatemala</b:City>
    <b:RefOrder>3</b:RefOrder>
  </b:Source>
  <b:Source>
    <b:Tag>MIN21</b:Tag>
    <b:SourceType>ElectronicSource</b:SourceType>
    <b:Guid>{99DD38CE-FB62-4FD9-A8B6-062C881E1E75}</b:Guid>
    <b:Title>SICOIN</b:Title>
    <b:Year>2021</b:Year>
    <b:City>Guatemala</b:City>
    <b:Author>
      <b:Author>
        <b:NameList>
          <b:Person>
            <b:Last>MINFIN</b:Last>
          </b:Person>
        </b:NameList>
      </b:Author>
    </b:Author>
    <b:CountryRegion>Guatemala</b:CountryRegion>
    <b:Month>noviembre</b:Month>
    <b:RefOrder>4</b:RefOrder>
  </b:Source>
</b:Sources>
</file>

<file path=customXml/itemProps1.xml><?xml version="1.0" encoding="utf-8"?>
<ds:datastoreItem xmlns:ds="http://schemas.openxmlformats.org/officeDocument/2006/customXml" ds:itemID="{588BD180-3304-4646-8CB3-1028CC3E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8935</Words>
  <Characters>49146</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Promoción1</dc:creator>
  <cp:keywords/>
  <dc:description/>
  <cp:lastModifiedBy>José Rodríguez</cp:lastModifiedBy>
  <cp:revision>2</cp:revision>
  <dcterms:created xsi:type="dcterms:W3CDTF">2022-04-08T18:49:00Z</dcterms:created>
  <dcterms:modified xsi:type="dcterms:W3CDTF">2022-04-08T18:49:00Z</dcterms:modified>
</cp:coreProperties>
</file>