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F3D4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0D58E6F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26A1F24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2DD8E92F">
      <w:pPr>
        <w:pStyle w:val="19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757683E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Style w:val="5"/>
        <w:tblW w:w="948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6"/>
        <w:gridCol w:w="7153"/>
      </w:tblGrid>
      <w:tr w14:paraId="5947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2336" w:type="dxa"/>
          </w:tcPr>
          <w:p w14:paraId="5EAFB206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</w:tcPr>
          <w:p w14:paraId="154D8080">
            <w:pPr>
              <w:tabs>
                <w:tab w:val="center" w:pos="3527"/>
              </w:tabs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FEBRERO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9C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 w:hRule="atLeast"/>
        </w:trPr>
        <w:tc>
          <w:tcPr>
            <w:tcW w:w="2336" w:type="dxa"/>
          </w:tcPr>
          <w:p w14:paraId="242193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</w:tcPr>
          <w:p w14:paraId="37113287">
            <w:pPr>
              <w:tabs>
                <w:tab w:val="center" w:pos="3506"/>
              </w:tabs>
              <w:rPr>
                <w:rFonts w:hint="default"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</w:rPr>
              <w:t>202</w:t>
            </w:r>
            <w:r>
              <w:rPr>
                <w:rFonts w:hint="default" w:ascii="Calibri" w:hAnsi="Calibri" w:cs="Arial"/>
                <w:sz w:val="20"/>
                <w:lang w:val="es-MX"/>
              </w:rPr>
              <w:t>6</w:t>
            </w:r>
          </w:p>
        </w:tc>
      </w:tr>
      <w:tr w14:paraId="42E0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2336" w:type="dxa"/>
          </w:tcPr>
          <w:p w14:paraId="1C1F2F9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 de envío:</w:t>
            </w:r>
          </w:p>
        </w:tc>
        <w:tc>
          <w:tcPr>
            <w:tcW w:w="7153" w:type="dxa"/>
          </w:tcPr>
          <w:p w14:paraId="7370A111">
            <w:pPr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3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03</w:t>
            </w:r>
            <w:r>
              <w:rPr>
                <w:rFonts w:ascii="Calibri" w:hAnsi="Calibri" w:cs="Arial"/>
                <w:sz w:val="20"/>
                <w:szCs w:val="20"/>
              </w:rPr>
              <w:t>/202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6</w:t>
            </w:r>
          </w:p>
        </w:tc>
      </w:tr>
      <w:tr w14:paraId="0B2A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F4E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068AFB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14:paraId="449B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804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88A16D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1EEA4BD4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1D6BCF3F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Style w:val="5"/>
        <w:tblW w:w="951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3302"/>
        <w:gridCol w:w="1922"/>
        <w:gridCol w:w="1926"/>
      </w:tblGrid>
      <w:tr w14:paraId="6012C4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BFA65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Gerente/Director/Coordinador (Tomador de decisiones):</w:t>
            </w:r>
          </w:p>
        </w:tc>
      </w:tr>
      <w:tr w14:paraId="111A35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915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0037E8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Bertha Leonor Falla Alonzo/Directora de Unidad de Gestión de la Cooperación </w:t>
            </w:r>
          </w:p>
        </w:tc>
      </w:tr>
      <w:tr w14:paraId="097208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4484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0CF3D5D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14:paraId="691602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BFEF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Financiero del Programa/Proyecto: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3C635E7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C449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305B0D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7A8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478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Pineda/Directora Financiera</w:t>
            </w:r>
          </w:p>
        </w:tc>
      </w:tr>
      <w:tr w14:paraId="4891E7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E3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5467">
            <w:pPr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silvia.ticum@seprem.gob.gt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14:paraId="70F4AD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5BE20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7FFB23F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E3D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2AA9BC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7D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12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660A24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F26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FAB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012CC7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9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14:paraId="209CD0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35D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9A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Lilian Patricia Villatoro Pérez / Directora de la Unidad de Planificación</w:t>
            </w:r>
          </w:p>
        </w:tc>
      </w:tr>
      <w:tr w14:paraId="0E19DC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21D4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B8F7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"mailto:lilian.villatoro@seprem.gob.gt"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lilian.villatoro@seprem.gob.gt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11311056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224C678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682D1117">
      <w:pPr>
        <w:pStyle w:val="16"/>
        <w:ind w:left="436" w:firstLine="0"/>
        <w:rPr>
          <w:sz w:val="20"/>
          <w:szCs w:val="22"/>
          <w:lang w:val="es-MX"/>
        </w:rPr>
      </w:pPr>
    </w:p>
    <w:tbl>
      <w:tblPr>
        <w:tblStyle w:val="5"/>
        <w:tblW w:w="9591" w:type="dxa"/>
        <w:tblInd w:w="-236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9"/>
        <w:gridCol w:w="2874"/>
        <w:gridCol w:w="5958"/>
      </w:tblGrid>
      <w:tr w14:paraId="1FDA6F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9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59824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14:paraId="4B93D0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3FA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FB0D5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AD1E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/>
                <w:color w:val="000000"/>
                <w:sz w:val="18"/>
                <w:szCs w:val="20"/>
              </w:rPr>
              <w:t>Actualización de la Política Nacional de Promoción y Desarrollo Integral de las Mujeres e implementación de su primera fase, en el marco de la reducción de las brechas de inequidad entre hombres y mujeres para garantizar los derechos humanos de las guatemaltecas, durante el periodo 2025-2040</w:t>
            </w:r>
          </w:p>
        </w:tc>
      </w:tr>
      <w:tr w14:paraId="132F1D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7DEC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C385C0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EE76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hint="default" w:ascii="Calibri" w:hAnsi="Calibri"/>
                <w:color w:val="000000"/>
                <w:sz w:val="18"/>
                <w:szCs w:val="20"/>
              </w:rPr>
              <w:t>2025QdV00086</w:t>
            </w:r>
          </w:p>
        </w:tc>
      </w:tr>
      <w:tr w14:paraId="58E026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DA1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ADA6E1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7EF9D">
            <w:pPr>
              <w:rPr>
                <w:rFonts w:hint="default" w:ascii="Calibri" w:hAnsi="Calibri"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</w:t>
            </w:r>
            <w:r>
              <w:rPr>
                <w:rFonts w:hint="default" w:ascii="Calibri" w:hAnsi="Calibri"/>
                <w:color w:val="000000"/>
                <w:sz w:val="18"/>
                <w:szCs w:val="20"/>
                <w:lang w:val="es-MX"/>
              </w:rPr>
              <w:t>80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-202</w:t>
            </w:r>
            <w:r>
              <w:rPr>
                <w:rFonts w:hint="default" w:ascii="Calibri" w:hAnsi="Calibri"/>
                <w:color w:val="000000"/>
                <w:sz w:val="18"/>
                <w:szCs w:val="20"/>
                <w:lang w:val="es-MX"/>
              </w:rPr>
              <w:t xml:space="preserve">5 y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RES-SEPREM-0</w:t>
            </w:r>
            <w:r>
              <w:rPr>
                <w:rFonts w:hint="default" w:ascii="Calibri" w:hAnsi="Calibri"/>
                <w:color w:val="000000"/>
                <w:sz w:val="18"/>
                <w:szCs w:val="20"/>
                <w:lang w:val="es-MX"/>
              </w:rPr>
              <w:t>103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-202</w:t>
            </w:r>
            <w:r>
              <w:rPr>
                <w:rFonts w:hint="default" w:ascii="Calibri" w:hAnsi="Calibri"/>
                <w:color w:val="000000"/>
                <w:sz w:val="18"/>
                <w:szCs w:val="20"/>
                <w:lang w:val="es-MX"/>
              </w:rPr>
              <w:t>5</w:t>
            </w:r>
          </w:p>
        </w:tc>
      </w:tr>
      <w:tr w14:paraId="4EEB66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C08D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6DAEC6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6BBB2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14:paraId="188C33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1A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237E3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F062A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14:paraId="7AD02F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AE54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EFB2A4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A52D8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14:paraId="05F650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4A2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D3B482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0A7E7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14:paraId="3E103C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F55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48425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6FEF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0FE8DEE8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4613"/>
        <w:gridCol w:w="868"/>
        <w:gridCol w:w="616"/>
        <w:gridCol w:w="2769"/>
      </w:tblGrid>
      <w:tr w14:paraId="1549B0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BC2E5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D7C07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078E1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37D1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41FE85">
            <w:pPr>
              <w:jc w:val="center"/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29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CE0C22">
            <w:pPr>
              <w:jc w:val="center"/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09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449B2">
            <w:pPr>
              <w:jc w:val="center"/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5</w:t>
            </w:r>
          </w:p>
        </w:tc>
      </w:tr>
      <w:tr w14:paraId="0B5006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E4CE8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493E7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E416F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10FE0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02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AC1F7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2026</w:t>
            </w:r>
          </w:p>
        </w:tc>
      </w:tr>
      <w:tr w14:paraId="3EE498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12B04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016E3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Resolución de Subvención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EB07C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F58A31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07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C37177">
            <w:pPr>
              <w:jc w:val="center"/>
              <w:rPr>
                <w:rFonts w:hint="default" w:ascii="Calibri" w:hAnsi="Calibri" w:cs="Arial"/>
                <w:color w:val="FF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lang w:val="es-MX"/>
              </w:rPr>
              <w:t>2025</w:t>
            </w:r>
          </w:p>
        </w:tc>
      </w:tr>
      <w:tr w14:paraId="3E393D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C8CCFE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6D186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Secretaria Presidencial de la Mujer 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DB8A8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18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B1AFF8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08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873A5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2025</w:t>
            </w:r>
          </w:p>
        </w:tc>
      </w:tr>
      <w:tr w14:paraId="504856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F5AF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2C6EB7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35720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641B5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96CD7">
            <w:pPr>
              <w:jc w:val="center"/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  <w:t>11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51403B">
            <w:pPr>
              <w:jc w:val="center"/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20"/>
                <w:szCs w:val="20"/>
                <w:highlight w:val="none"/>
                <w:lang w:val="es-MX"/>
              </w:rPr>
              <w:t>02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1A0641">
            <w:pPr>
              <w:jc w:val="center"/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8</w:t>
            </w:r>
          </w:p>
        </w:tc>
      </w:tr>
      <w:tr w14:paraId="7DBF74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945C1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9DC4A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D525F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DBFFC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AE63D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2028</w:t>
            </w:r>
          </w:p>
        </w:tc>
      </w:tr>
      <w:tr w14:paraId="462704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EF95C4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13EC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1D8BE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12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4CE4F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08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B8C01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2028</w:t>
            </w:r>
          </w:p>
        </w:tc>
      </w:tr>
    </w:tbl>
    <w:p w14:paraId="13D4D503"/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2"/>
        <w:gridCol w:w="4600"/>
        <w:gridCol w:w="1560"/>
        <w:gridCol w:w="2693"/>
      </w:tblGrid>
      <w:tr w14:paraId="55E27F30">
        <w:trPr>
          <w:trHeight w:val="31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AF8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14:paraId="6C325B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63F22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20EE5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55F17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DF87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14:paraId="60DAFA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CEA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CB3C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2024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9F7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25774F8D">
      <w:pPr>
        <w:rPr>
          <w:rFonts w:ascii="Calibri" w:hAnsi="Calibri" w:cs="Arial"/>
          <w:b/>
          <w:sz w:val="22"/>
          <w:szCs w:val="22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3549"/>
        <w:gridCol w:w="1389"/>
        <w:gridCol w:w="3918"/>
      </w:tblGrid>
      <w:tr w14:paraId="6B754186">
        <w:trPr>
          <w:trHeight w:val="26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095F3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14:paraId="242896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5F9F01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3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B639D7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BB4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3EC5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 xml:space="preserve">2,734,800.90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-202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8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) </w:t>
            </w:r>
          </w:p>
        </w:tc>
      </w:tr>
      <w:tr w14:paraId="7F3CF5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16234D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3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0550A7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7FCB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ABFE0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246354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A45BF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3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67F80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214D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3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5FA6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B23B7F">
      <w:pPr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6237"/>
        <w:gridCol w:w="2618"/>
      </w:tblGrid>
      <w:tr w14:paraId="32AFDE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A1218B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90CA5B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14:paraId="7C92C6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F5B00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F6DE21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864E1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880A0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CCA6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71C2BC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862B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2CE9AE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1F02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EB5F322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D54C3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26F8E8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9B8F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06A561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49EB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9CD01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4E9C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37016C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262E5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78C5E831">
      <w:pPr>
        <w:rPr>
          <w:rFonts w:ascii="Calibri" w:hAnsi="Calibri" w:cs="Arial"/>
          <w:sz w:val="22"/>
          <w:szCs w:val="22"/>
        </w:rPr>
      </w:pPr>
    </w:p>
    <w:tbl>
      <w:tblPr>
        <w:tblStyle w:val="5"/>
        <w:tblW w:w="9498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2"/>
        <w:gridCol w:w="2294"/>
        <w:gridCol w:w="61"/>
        <w:gridCol w:w="931"/>
        <w:gridCol w:w="182"/>
        <w:gridCol w:w="876"/>
        <w:gridCol w:w="1355"/>
        <w:gridCol w:w="60"/>
        <w:gridCol w:w="919"/>
        <w:gridCol w:w="493"/>
        <w:gridCol w:w="598"/>
        <w:gridCol w:w="565"/>
        <w:gridCol w:w="402"/>
      </w:tblGrid>
      <w:tr w14:paraId="7BAB14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98F4B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14:paraId="5CCF3D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4CAD0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97468E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137A7B0C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14:paraId="40E86F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575203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960F994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8536D5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395B25D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14:paraId="3C3F6E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3018D94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453C6F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04D39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D3603E0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00B435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88ACB2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FA0436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459A29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337DA08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7335E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C6807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DF8E1D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FC9EE1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967EE8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617E0C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662274E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D4C2E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EB21937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14:paraId="1CC0B5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C1BD0E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7E925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14:paraId="6C08E7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F900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6A65547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062246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4CD45C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BE9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1AA4C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FC63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14:paraId="695113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B057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83D525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D931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1BCB4B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6DB04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90FEC4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E950B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37ADEF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731CA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14:paraId="78EDD0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9537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2EC3D27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E486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DD104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C57037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EEFA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1CAD5F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57889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1FDEA5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14:paraId="11C56E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E9E8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84CE2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5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21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1C129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3A434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343A2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5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0D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7A92A5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C45576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0F4FB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5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34D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5D3EB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0DDA5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14:paraId="5A3FEC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D1CFB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4DA0A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17F2F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1BE16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76143A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F2E4CA">
            <w:pPr>
              <w:jc w:val="center"/>
              <w:rPr>
                <w:rFonts w:hint="default" w:ascii="Calibri" w:hAnsi="Calibri" w:cs="Arial"/>
                <w:color w:val="000000"/>
                <w:sz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lang w:val="es-MX"/>
              </w:rPr>
              <w:t>0603</w:t>
            </w:r>
          </w:p>
        </w:tc>
      </w:tr>
      <w:tr w14:paraId="224A99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62CEE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A7C95C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4A1A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1AEF65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EBA1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4B10">
            <w:pPr>
              <w:jc w:val="center"/>
              <w:rPr>
                <w:rFonts w:hint="default" w:ascii="Calibri" w:hAnsi="Calibri" w:cs="Arial"/>
                <w:color w:val="000000"/>
                <w:sz w:val="20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</w:t>
            </w:r>
            <w:r>
              <w:rPr>
                <w:rFonts w:hint="default" w:ascii="Calibri" w:hAnsi="Calibri" w:cs="Arial"/>
                <w:color w:val="000000"/>
                <w:sz w:val="20"/>
                <w:lang w:val="es-MX"/>
              </w:rPr>
              <w:t>145</w:t>
            </w:r>
          </w:p>
        </w:tc>
      </w:tr>
      <w:tr w14:paraId="36AB91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</w:trPr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EF58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B911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A09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708E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2EC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14:paraId="545B48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0BA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F6BECA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1F71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01D0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300,000.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00 </w:t>
            </w:r>
          </w:p>
          <w:p w14:paraId="20170EF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6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-202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8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680D0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  <w:t>7.66450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12134B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  <w:t>2,734,800.90</w:t>
            </w:r>
          </w:p>
          <w:p w14:paraId="4ADD301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highlight w:val="none"/>
              </w:rPr>
            </w:pPr>
          </w:p>
        </w:tc>
      </w:tr>
      <w:tr w14:paraId="2AFB8F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F59BA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1B97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1451D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54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7E6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342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14:paraId="5D3C00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284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CC08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1E6F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72E6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B417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C660DC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  <w:t>2,734,800.90</w:t>
            </w:r>
          </w:p>
          <w:p w14:paraId="421435F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6D07F1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D027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B591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FAA1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7E060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B3A0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DEA7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654200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4DC06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39C9B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B5A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31A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E24F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9BBA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23EF40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02CD0A3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CD82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E23D2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80F13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300,000.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311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DCF8F1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  <w:t>2,734,800.90</w:t>
            </w:r>
          </w:p>
        </w:tc>
      </w:tr>
      <w:tr w14:paraId="07D296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8" w:hRule="atLeast"/>
        </w:trPr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AAEE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4567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B32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1A4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0A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14:paraId="0CF1D3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D6737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953C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0038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47D7B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CEA1F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74E4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3FC3F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58390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7912A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2598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11E3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09765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300,000.00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CC3BF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E7A8C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color w:val="000000"/>
                <w:sz w:val="20"/>
                <w:szCs w:val="20"/>
                <w:highlight w:val="none"/>
                <w:lang w:val="es-MX"/>
              </w:rPr>
              <w:t>2,734,800.90</w:t>
            </w:r>
          </w:p>
        </w:tc>
      </w:tr>
    </w:tbl>
    <w:p w14:paraId="5A89E350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3969"/>
        <w:gridCol w:w="1767"/>
        <w:gridCol w:w="1493"/>
        <w:gridCol w:w="1626"/>
      </w:tblGrid>
      <w:tr w14:paraId="492FDE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E25E9C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546BC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67FEF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56F633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14:paraId="0FA6F1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7650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EF8D9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8BF1E">
            <w:pPr>
              <w:jc w:val="center"/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</w:pPr>
            <w:r>
              <w:rPr>
                <w:rFonts w:hint="default" w:ascii="Calibri" w:hAnsi="Calibri" w:cs="Arial"/>
                <w:color w:val="000000"/>
                <w:sz w:val="20"/>
                <w:szCs w:val="20"/>
                <w:lang w:val="es-MX"/>
              </w:rPr>
              <w:t>31/12/2026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97C5">
            <w:pPr>
              <w:jc w:val="center"/>
              <w:rPr>
                <w:rFonts w:hint="default" w:ascii="Calibri" w:hAnsi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Q. </w:t>
            </w:r>
            <w:r>
              <w:rPr>
                <w:rFonts w:hint="default" w:ascii="Calibri" w:hAnsi="Calibri"/>
                <w:color w:val="000000"/>
                <w:sz w:val="20"/>
                <w:szCs w:val="20"/>
                <w:lang w:val="es-MX"/>
              </w:rPr>
              <w:t>1,812,900.00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3516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14:paraId="0A6622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52CF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EACDE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91BE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DFA3B7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86BA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58DE37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5"/>
        <w:tblW w:w="956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1048"/>
        <w:gridCol w:w="7825"/>
      </w:tblGrid>
      <w:tr w14:paraId="469F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692" w:type="dxa"/>
            <w:noWrap/>
            <w:vAlign w:val="center"/>
          </w:tcPr>
          <w:p w14:paraId="6B518E16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noWrap/>
            <w:vAlign w:val="bottom"/>
          </w:tcPr>
          <w:p w14:paraId="32C4E558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14:paraId="4B2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2474F69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noWrap/>
            <w:vAlign w:val="center"/>
          </w:tcPr>
          <w:p w14:paraId="64BE48F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noWrap/>
            <w:vAlign w:val="bottom"/>
          </w:tcPr>
          <w:p w14:paraId="7302BD37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hint="default" w:ascii="Calibri" w:hAnsi="Calibri"/>
                <w:bCs/>
                <w:sz w:val="20"/>
                <w:szCs w:val="20"/>
              </w:rPr>
              <w:t>Actualizada la PNPDIM en consenso con la institucionalidad pública, organizaciones de mujeres y feministas de la sociedad civil guatemalteca para garantizar la igualdad de las mujeres y prevención de todas las formas de discriminación y violencia contra la mujer</w:t>
            </w:r>
          </w:p>
        </w:tc>
      </w:tr>
      <w:tr w14:paraId="5BE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E9D889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 w:val="continue"/>
            <w:noWrap/>
          </w:tcPr>
          <w:p w14:paraId="2C8E284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64AD0031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hint="default" w:ascii="Calibri" w:hAnsi="Calibri"/>
                <w:bCs/>
                <w:sz w:val="20"/>
                <w:szCs w:val="20"/>
              </w:rPr>
              <w:t>Implementada la primera fase de la PNPDIM a nivel nacional.</w:t>
            </w:r>
          </w:p>
        </w:tc>
      </w:tr>
      <w:tr w14:paraId="12A6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36B2C57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 w:val="continue"/>
            <w:noWrap/>
          </w:tcPr>
          <w:p w14:paraId="034D8DD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514657E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hint="default" w:ascii="Calibri" w:hAnsi="Calibri"/>
                <w:bCs/>
                <w:sz w:val="20"/>
                <w:szCs w:val="20"/>
              </w:rPr>
              <w:t>Fortalecido el accionar de la SEPREM en los mecanismos de avance de las mujeres como: Coordinadora Nacional para la Prevención de la Violencia Intrafamiliar y en contra de la Mujer –CONAPREVI-, la Mesa de MINPAZ-R-1325, mecanismo de la CEDAW, las comisiones de la Mujer Urbano y Rural, la plataforma nacional de cuidados, las Unidades de Género, entidades del Organismos Ejecutivo y las Direcciones municipales de la mujer.</w:t>
            </w:r>
          </w:p>
        </w:tc>
      </w:tr>
    </w:tbl>
    <w:p w14:paraId="096B5094">
      <w:pPr>
        <w:pStyle w:val="11"/>
        <w:tabs>
          <w:tab w:val="left" w:pos="2221"/>
        </w:tabs>
        <w:spacing w:after="0"/>
        <w:rPr>
          <w:sz w:val="22"/>
          <w:szCs w:val="22"/>
        </w:rPr>
      </w:pPr>
    </w:p>
    <w:tbl>
      <w:tblPr>
        <w:tblStyle w:val="5"/>
        <w:tblW w:w="9622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14:paraId="5E8E68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74FEE8D9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37B7AD">
            <w:pP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290B94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D0A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478A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982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AE4F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CF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66064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Instituciones Co-ejecutores</w:t>
            </w:r>
          </w:p>
        </w:tc>
      </w:tr>
      <w:tr w14:paraId="43F03C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ED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A4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4E81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9DB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FE15E6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2EF67C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6C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568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522B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2530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2BC7E705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73BE97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580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70F6109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3CF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580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BEA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C356B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BF3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8FFE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14:paraId="75058D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F1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A972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28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1AC8D7C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BC8E1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A4ADA2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A5C1B8">
            <w:pPr>
              <w:jc w:val="center"/>
              <w:rPr>
                <w:color w:val="000000"/>
              </w:rPr>
            </w:pPr>
          </w:p>
        </w:tc>
      </w:tr>
      <w:tr w14:paraId="72F774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49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CB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AE6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DA9269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2F9172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EBB14F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DFDF6F1">
            <w:pPr>
              <w:jc w:val="center"/>
            </w:pPr>
          </w:p>
        </w:tc>
      </w:tr>
      <w:tr w14:paraId="4FA187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9D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D8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A9C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509C6FE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C7D2D5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40F5DE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24ECEA">
            <w:pPr>
              <w:jc w:val="center"/>
            </w:pPr>
          </w:p>
        </w:tc>
      </w:tr>
    </w:tbl>
    <w:p w14:paraId="4995D656">
      <w:pPr>
        <w:pStyle w:val="16"/>
        <w:numPr>
          <w:ilvl w:val="0"/>
          <w:numId w:val="0"/>
        </w:numPr>
        <w:ind w:left="-284" w:leftChars="0"/>
        <w:rPr>
          <w:sz w:val="22"/>
          <w:lang w:val="es-MX"/>
        </w:rPr>
      </w:pPr>
    </w:p>
    <w:p w14:paraId="765670AD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AVANCE FINANCIERO</w:t>
      </w:r>
    </w:p>
    <w:tbl>
      <w:tblPr>
        <w:tblStyle w:val="5"/>
        <w:tblW w:w="9281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14:paraId="2CB58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9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B5421A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14:paraId="16F638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E566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547CA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3F4CC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Euros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71C2B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47BE7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1FEB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74BFF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14:paraId="24E1A7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D4476A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B042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1</w:t>
            </w:r>
            <w:r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  <w:t>/02/202</w:t>
            </w: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6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AC79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300,000.00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3EED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1.189380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E0F2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356,814.00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4509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7.66450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42C46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2,734,800.90</w:t>
            </w:r>
          </w:p>
        </w:tc>
      </w:tr>
      <w:tr w14:paraId="1BA599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BABE8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3A9C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  <w:t xml:space="preserve">Total 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312A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300</w:t>
            </w:r>
            <w:r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  <w:t>,</w:t>
            </w: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00</w:t>
            </w:r>
            <w:r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  <w:t>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DE77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5CA3">
            <w:pPr>
              <w:jc w:val="center"/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356,814.00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B826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812A3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  <w:highlight w:val="none"/>
              </w:rPr>
              <w:t xml:space="preserve">Q. </w:t>
            </w:r>
            <w:r>
              <w:rPr>
                <w:rFonts w:hint="default" w:ascii="Calibri" w:hAnsi="Calibri" w:cs="Arial"/>
                <w:color w:val="auto"/>
                <w:sz w:val="20"/>
                <w:szCs w:val="20"/>
                <w:highlight w:val="none"/>
                <w:lang w:val="es-MX"/>
              </w:rPr>
              <w:t>2,734,800.90</w:t>
            </w:r>
          </w:p>
        </w:tc>
      </w:tr>
    </w:tbl>
    <w:p w14:paraId="3AFBF8AA">
      <w:pPr>
        <w:ind w:left="-227" w:right="-57"/>
        <w:rPr>
          <w:sz w:val="14"/>
          <w:szCs w:val="20"/>
          <w:highlight w:val="none"/>
          <w:lang w:val="es-MX"/>
        </w:rPr>
      </w:pPr>
      <w:r>
        <w:rPr>
          <w:sz w:val="14"/>
          <w:szCs w:val="20"/>
          <w:lang w:val="es-MX"/>
        </w:rPr>
        <w:t>1/S</w:t>
      </w:r>
      <w:r>
        <w:rPr>
          <w:sz w:val="14"/>
          <w:szCs w:val="20"/>
          <w:highlight w:val="none"/>
          <w:lang w:val="es-MX"/>
        </w:rPr>
        <w:t>e recibió el 1 febrero del 202</w:t>
      </w:r>
      <w:r>
        <w:rPr>
          <w:rFonts w:hint="default"/>
          <w:sz w:val="14"/>
          <w:szCs w:val="20"/>
          <w:highlight w:val="none"/>
          <w:lang w:val="es-MX"/>
        </w:rPr>
        <w:t>6</w:t>
      </w:r>
      <w:r>
        <w:rPr>
          <w:sz w:val="14"/>
          <w:szCs w:val="20"/>
          <w:highlight w:val="none"/>
          <w:lang w:val="es-MX"/>
        </w:rPr>
        <w:t xml:space="preserve">, </w:t>
      </w:r>
      <w:r>
        <w:rPr>
          <w:rFonts w:hint="default"/>
          <w:sz w:val="14"/>
          <w:szCs w:val="20"/>
          <w:highlight w:val="none"/>
          <w:lang w:val="es-MX"/>
        </w:rPr>
        <w:t>por el</w:t>
      </w:r>
      <w:r>
        <w:rPr>
          <w:sz w:val="14"/>
          <w:szCs w:val="20"/>
          <w:highlight w:val="none"/>
          <w:lang w:val="es-MX"/>
        </w:rPr>
        <w:t xml:space="preserve"> total de la donación.</w:t>
      </w:r>
    </w:p>
    <w:p w14:paraId="6F7F5437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"/>
        <w:gridCol w:w="4885"/>
        <w:gridCol w:w="1635"/>
        <w:gridCol w:w="1560"/>
        <w:gridCol w:w="992"/>
      </w:tblGrid>
      <w:tr w14:paraId="51A5EF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CEC69C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4.2 Detalle de ejecución de los aportes del cooperante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(montos en Quetzales)</w:t>
            </w:r>
          </w:p>
        </w:tc>
      </w:tr>
      <w:tr w14:paraId="578109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65D8DE1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4BCC2544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1BE7B8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0ECCFB0A">
            <w:pPr>
              <w:jc w:val="center"/>
              <w:rPr>
                <w:rFonts w:hint="default" w:ascii="Calibri" w:hAnsi="Calibri" w:cs="Arial"/>
                <w:b/>
                <w:color w:val="00206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8"/>
                <w:lang w:val="es-MX"/>
              </w:rPr>
              <w:t>6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-202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8"/>
                <w:lang w:val="es-MX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94E2C2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3700FD0F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Quetzales en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febrero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3BF8EBF6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8</w:t>
            </w:r>
          </w:p>
        </w:tc>
      </w:tr>
      <w:tr w14:paraId="3BD2E8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79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FCBAA0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hint="default" w:ascii="Calibri" w:hAnsi="Calibri"/>
                <w:bCs/>
                <w:sz w:val="18"/>
                <w:szCs w:val="18"/>
              </w:rPr>
              <w:t>Actualizada la PNPDIM en consenso con la institucionalidad pública, organizaciones de mujeres y feministas de la sociedad civil guatemalteca para garantizar la igualdad de las mujeres y prevención de todas las formas de discriminación y violencia contra la mujer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3F26">
            <w:pPr>
              <w:jc w:val="right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624,500.00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8964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B372">
            <w:pPr>
              <w:spacing w:line="259" w:lineRule="auto"/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354DC7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9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25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E25D23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/>
                <w:bCs/>
                <w:sz w:val="18"/>
                <w:szCs w:val="18"/>
              </w:rPr>
              <w:t>Implementada la primera fase de la PNPDIM a nivel nacional.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DD5B">
            <w:pPr>
              <w:jc w:val="right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 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1,053,100.00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DD8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951A4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1692D0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4C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8E0B1C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/>
                <w:bCs/>
                <w:sz w:val="18"/>
                <w:szCs w:val="18"/>
              </w:rPr>
              <w:t>Fortalecido el accionar de la SEPREM en los mecanismos de avance de las mujeres como: Coordinadora Nacional para la Prevención de la Violencia Intrafamiliar y en contra de la Mujer –CONAPREVI-, la Mesa de MINPAZ-R-1325, mecanismo de la CEDAW, las comisiones de la Mujer Urbano y Rural, la plataforma nacional de cuidados, las Unidades de Género, entidades del Organismos Ejecutivo y las Direcciones municipales de la mujer.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1534">
            <w:pPr>
              <w:jc w:val="right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 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135,300.00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324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B8A3C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153DFA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5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3B89">
            <w:pPr>
              <w:rPr>
                <w:rFonts w:ascii="Calibri" w:hAnsi="Calibri" w:cs="Arial"/>
                <w:b/>
                <w:bCs/>
                <w:color w:val="20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Monto Total del Resultado 202</w:t>
            </w:r>
            <w:r>
              <w:rPr>
                <w:rFonts w:hint="default" w:ascii="Calibri" w:hAnsi="Calibri" w:cs="Arial"/>
                <w:b/>
                <w:bCs/>
                <w:color w:val="4472C4" w:themeColor="accent1"/>
                <w:sz w:val="18"/>
                <w:szCs w:val="18"/>
                <w:lang w:val="es-MX"/>
                <w14:textFill>
                  <w14:solidFill>
                    <w14:schemeClr w14:val="accent1"/>
                  </w14:solidFill>
                </w14:textFill>
              </w:rPr>
              <w:t>6</w:t>
            </w: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>-202</w:t>
            </w:r>
            <w:r>
              <w:rPr>
                <w:rFonts w:hint="default" w:ascii="Calibri" w:hAnsi="Calibri" w:cs="Arial"/>
                <w:b/>
                <w:bCs/>
                <w:color w:val="4472C4" w:themeColor="accent1"/>
                <w:sz w:val="18"/>
                <w:szCs w:val="18"/>
                <w:lang w:val="es-MX"/>
                <w14:textFill>
                  <w14:solidFill>
                    <w14:schemeClr w14:val="accent1"/>
                  </w14:solidFill>
                </w14:textFill>
              </w:rPr>
              <w:t>8</w:t>
            </w: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 xml:space="preserve">: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BD6D">
            <w:pPr>
              <w:jc w:val="right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12</w:t>
            </w:r>
            <w:r>
              <w:rPr>
                <w:rFonts w:ascii="Calibri" w:hAnsi="Calibri" w:cs="Arial"/>
                <w:sz w:val="18"/>
                <w:szCs w:val="18"/>
              </w:rPr>
              <w:t>,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900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E373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9F5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0B9BBD62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9"/>
        <w:gridCol w:w="3816"/>
        <w:gridCol w:w="1763"/>
        <w:gridCol w:w="1940"/>
        <w:gridCol w:w="1492"/>
      </w:tblGrid>
      <w:tr w14:paraId="1DB381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CFFF0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14:paraId="505DB5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CA4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7F5725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753EED3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07C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5BDD2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2E40E98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4AD1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14:paraId="6CD087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E8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A3D8D9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C2B10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0F5715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8C70CE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16DE88F7">
      <w:pPr>
        <w:pStyle w:val="16"/>
        <w:ind w:left="0" w:firstLine="0"/>
        <w:rPr>
          <w:b/>
          <w:bCs/>
          <w:sz w:val="16"/>
          <w:lang w:val="es-MX"/>
        </w:rPr>
      </w:pPr>
    </w:p>
    <w:p w14:paraId="72392772">
      <w:pPr>
        <w:pStyle w:val="16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EJECUCIÓN PRESUPUESTARIA</w:t>
      </w: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2790"/>
        <w:gridCol w:w="2644"/>
        <w:gridCol w:w="2504"/>
      </w:tblGrid>
      <w:tr w14:paraId="5125B5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AE75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14:paraId="32A3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68F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84C7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B56A">
            <w:pPr>
              <w:jc w:val="center"/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hint="default" w:ascii="Calibri" w:hAnsi="Calibri" w:cs="Arial"/>
                <w:b/>
                <w:color w:val="002060"/>
                <w:sz w:val="16"/>
                <w:szCs w:val="16"/>
                <w:lang w:val="es-MX"/>
              </w:rPr>
              <w:t>6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654C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14:paraId="2D2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5D9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A54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65E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Enero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776E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.0</w:t>
            </w:r>
          </w:p>
        </w:tc>
      </w:tr>
      <w:tr w14:paraId="27B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186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8C4B">
            <w:pPr>
              <w:ind w:right="-27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FCAE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 xml:space="preserve">           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Q.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541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284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4F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4CE4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9C6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B92A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056A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1B62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5346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61A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E023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47EB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D9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A8F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1A8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0230">
            <w:pPr>
              <w:jc w:val="center"/>
              <w:rPr>
                <w:rFonts w:hint="default"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.0</w:t>
            </w:r>
          </w:p>
        </w:tc>
      </w:tr>
      <w:tr w14:paraId="1D03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1F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96E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70B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F0ED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63E3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5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F67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234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3D07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4286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4D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61C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AAB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AC1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5C4E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05C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871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0C6B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2BF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.0</w:t>
            </w:r>
          </w:p>
        </w:tc>
      </w:tr>
      <w:tr w14:paraId="2D6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BF1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527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6909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 xml:space="preserve">bre         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54E3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4F8F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9D8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5B6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54B1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Noviembre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D9F3">
            <w:pPr>
              <w:jc w:val="center"/>
              <w:rPr>
                <w:rFonts w:hint="default" w:ascii="Calibri" w:hAnsi="Calibri" w:cs="Arial"/>
                <w:color w:val="FF0000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  <w:tr w14:paraId="74D9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000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34B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A1E7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Diciembre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0F0F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0.0</w:t>
            </w:r>
          </w:p>
        </w:tc>
      </w:tr>
    </w:tbl>
    <w:p w14:paraId="564722D1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69" w:type="dxa"/>
        <w:tblInd w:w="-176" w:type="dxa"/>
        <w:shd w:val="clear" w:color="auto" w:fill="80808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9"/>
        <w:gridCol w:w="1701"/>
        <w:gridCol w:w="1745"/>
        <w:gridCol w:w="1440"/>
        <w:gridCol w:w="1536"/>
        <w:gridCol w:w="808"/>
      </w:tblGrid>
      <w:tr w14:paraId="2943799A">
        <w:tblPrEx>
          <w:shd w:val="clear" w:color="auto" w:fill="80808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  <w:tblHeader/>
        </w:trPr>
        <w:tc>
          <w:tcPr>
            <w:tcW w:w="9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020F8A90">
            <w:pPr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</w:t>
            </w:r>
            <w:r>
              <w:rPr>
                <w:rFonts w:hint="default" w:ascii="Calibri" w:hAnsi="Calibri" w:cs="Arial"/>
                <w:b/>
                <w:color w:val="002060"/>
                <w:sz w:val="18"/>
                <w:szCs w:val="18"/>
                <w:lang w:val="es-MX"/>
              </w:rPr>
              <w:t>6</w:t>
            </w:r>
          </w:p>
        </w:tc>
      </w:tr>
      <w:tr w14:paraId="79AA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CC0C6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C1C69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FAAFA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071E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E908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B23D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14:paraId="2491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0933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FCD416">
            <w:pPr>
              <w:numPr>
                <w:ilvl w:val="0"/>
                <w:numId w:val="3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613CCB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16"/>
                <w:szCs w:val="16"/>
              </w:rPr>
              <w:t>0.0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5E15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824C74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BBB810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5B1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E3A8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781521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CF3C6C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4DE63B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864DF6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6998D4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4A64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A0F99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94556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9C01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FF774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8F1D3B">
            <w:pPr>
              <w:numPr>
                <w:ilvl w:val="0"/>
                <w:numId w:val="0"/>
              </w:numPr>
              <w:jc w:val="both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613CBF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6BC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EA2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Abril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2265A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A2CF0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ED06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27D69F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6195C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6E1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8F37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A1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38AA8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F23C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1197C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F9453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472E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FF16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C8AF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6B959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57CC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501F1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C64A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4459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D451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FCF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B72E2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72F88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B5CCE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83978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0063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CADD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91DD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E6B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89543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716DB2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8A0EB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AE2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2BDEA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0973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A889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B8AD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E9425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A2E96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620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41C3E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04BF4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2A91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28809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D9611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E997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91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5F1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6AF5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5BFDA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1F46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EE598A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EDC10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</w:p>
        </w:tc>
      </w:tr>
      <w:tr w14:paraId="24BD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9982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7F3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B4185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16E7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B8F2F3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D4784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</w:p>
        </w:tc>
      </w:tr>
    </w:tbl>
    <w:p w14:paraId="2DF9BAFE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14:paraId="1A86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1A6C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0DE8A32C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30C8984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353D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90" w:type="dxa"/>
            <w:gridSpan w:val="2"/>
            <w:vMerge w:val="continue"/>
            <w:vAlign w:val="center"/>
          </w:tcPr>
          <w:p w14:paraId="29A877B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3F0522E9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43191B6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2E7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9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14C12B8">
            <w:pPr>
              <w:pStyle w:val="32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3833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0D797C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9E786A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224FC0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FE53F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8CAC2B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59C17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0473E7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14:paraId="766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75A24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96B67">
            <w:pPr>
              <w:rPr>
                <w:rFonts w:hint="default" w:cs="Arial"/>
                <w:color w:val="222A35" w:themeColor="text2" w:themeShade="80"/>
                <w:sz w:val="16"/>
                <w:szCs w:val="18"/>
                <w:lang w:val="es-MX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</w:t>
            </w:r>
            <w:r>
              <w:rPr>
                <w:rFonts w:hint="default" w:cs="Arial"/>
                <w:color w:val="222A35" w:themeColor="text2" w:themeShade="80"/>
                <w:sz w:val="16"/>
                <w:szCs w:val="18"/>
                <w:lang w:val="es-MX"/>
              </w:rPr>
              <w:t>6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AA2D6D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>Q</w:t>
            </w:r>
            <w:r>
              <w:rPr>
                <w:rFonts w:hint="default"/>
                <w:sz w:val="16"/>
                <w:szCs w:val="16"/>
                <w:lang w:val="es-MX"/>
              </w:rPr>
              <w:t xml:space="preserve"> 83,800.0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D94B9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   </w:t>
            </w:r>
            <w:r>
              <w:rPr>
                <w:rFonts w:hint="default"/>
                <w:sz w:val="16"/>
                <w:szCs w:val="16"/>
                <w:lang w:val="es-MX"/>
              </w:rPr>
              <w:t>1,071,500.0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5F6D27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</w:rPr>
              <w:t xml:space="preserve">Q    </w:t>
            </w:r>
            <w:r>
              <w:rPr>
                <w:rFonts w:hint="default"/>
                <w:sz w:val="16"/>
                <w:szCs w:val="18"/>
                <w:lang w:val="es-MX"/>
              </w:rPr>
              <w:t>657,600.0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B3308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ES"/>
              </w:rPr>
              <w:t xml:space="preserve">Q </w:t>
            </w:r>
            <w:r>
              <w:rPr>
                <w:rFonts w:hint="default"/>
                <w:sz w:val="16"/>
                <w:szCs w:val="16"/>
                <w:lang w:val="es-MX"/>
              </w:rPr>
              <w:t>1,812,900.00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1186C8">
            <w:pPr>
              <w:jc w:val="center"/>
              <w:rPr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9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A101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D0033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B17858F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B841B">
            <w:pPr>
              <w:jc w:val="center"/>
              <w:rPr>
                <w:rFonts w:ascii="Calibri" w:hAnsi="Calibri" w:cs="Arial"/>
                <w:color w:val="EE000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 xml:space="preserve">Q.    </w:t>
            </w:r>
            <w:r>
              <w:rPr>
                <w:rFonts w:ascii="Calibri" w:hAnsi="Calibri" w:cs="Arial"/>
                <w:color w:val="auto"/>
                <w:sz w:val="16"/>
                <w:szCs w:val="18"/>
                <w:lang w:val="es-MX"/>
              </w:rPr>
              <w:t>0.00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7B7F2BF">
            <w:pPr>
              <w:jc w:val="center"/>
              <w:rPr>
                <w:rFonts w:hint="default" w:ascii="Calibri" w:hAnsi="Calibri" w:cs="Arial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 xml:space="preserve">Q. </w:t>
            </w:r>
            <w:r>
              <w:rPr>
                <w:rFonts w:hint="default" w:ascii="Calibri" w:hAnsi="Calibri" w:cs="Arial"/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E87BC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E24F52">
            <w:pPr>
              <w:spacing w:line="259" w:lineRule="auto"/>
              <w:jc w:val="center"/>
              <w:rPr>
                <w:rFonts w:hint="default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0.00</w:t>
            </w:r>
          </w:p>
        </w:tc>
      </w:tr>
      <w:tr w14:paraId="3D6D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0D13E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5077F3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168CE8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285BC6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0.0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559D50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0CC7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0.0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31F415">
            <w:pPr>
              <w:jc w:val="center"/>
              <w:rPr>
                <w:sz w:val="16"/>
                <w:szCs w:val="18"/>
              </w:rPr>
            </w:pPr>
          </w:p>
        </w:tc>
      </w:tr>
    </w:tbl>
    <w:p w14:paraId="36D0CE78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</w:t>
      </w:r>
      <w:r>
        <w:rPr>
          <w:rFonts w:hint="default" w:ascii="Calibri" w:hAnsi="Calibri" w:cs="Arial"/>
          <w:sz w:val="14"/>
          <w:szCs w:val="14"/>
          <w:lang w:val="es-MX"/>
        </w:rPr>
        <w:t>6</w:t>
      </w:r>
      <w:r>
        <w:rPr>
          <w:rFonts w:ascii="Calibri" w:hAnsi="Calibri" w:cs="Arial"/>
          <w:sz w:val="14"/>
          <w:szCs w:val="14"/>
        </w:rPr>
        <w:t xml:space="preserve"> aprobado por el donante y el saldo de caja de Tesorería.</w:t>
      </w:r>
    </w:p>
    <w:p w14:paraId="038D909D">
      <w:pPr>
        <w:ind w:left="-170"/>
        <w:rPr>
          <w:rFonts w:ascii="Calibri" w:hAnsi="Calibri" w:cs="Arial"/>
          <w:sz w:val="14"/>
          <w:szCs w:val="14"/>
        </w:rPr>
      </w:pPr>
    </w:p>
    <w:p w14:paraId="68F1814B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Style w:val="5"/>
        <w:tblW w:w="9689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51"/>
        <w:gridCol w:w="8103"/>
        <w:gridCol w:w="1035"/>
      </w:tblGrid>
      <w:tr w14:paraId="4F69BF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7" w:hRule="atLeast"/>
        </w:trPr>
        <w:tc>
          <w:tcPr>
            <w:tcW w:w="8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052C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A5242D">
            <w:pPr>
              <w:jc w:val="center"/>
              <w:rPr>
                <w:rFonts w:hint="default" w:ascii="Calibri" w:hAnsi="Calibri"/>
                <w:b/>
                <w:color w:val="002060"/>
                <w:sz w:val="16"/>
                <w:szCs w:val="22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</w:t>
            </w:r>
            <w:r>
              <w:rPr>
                <w:rFonts w:hint="default" w:ascii="Calibri" w:hAnsi="Calibri"/>
                <w:b/>
                <w:color w:val="002060"/>
                <w:sz w:val="16"/>
                <w:szCs w:val="22"/>
                <w:lang w:val="es-MX"/>
              </w:rPr>
              <w:t>6</w:t>
            </w:r>
          </w:p>
        </w:tc>
      </w:tr>
      <w:tr w14:paraId="515115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26D99E56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9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14:paraId="059C1EAA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14:paraId="36606F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31D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5AD70D">
            <w:pPr>
              <w:jc w:val="both"/>
              <w:rPr>
                <w:rFonts w:ascii="Calibri" w:hAnsi="Calibri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/>
                <w:bCs/>
                <w:sz w:val="18"/>
                <w:szCs w:val="18"/>
              </w:rPr>
              <w:t>Actualizada la PNPDIM en consenso con la institucionalidad pública, organizaciones de mujeres y feministas de la sociedad civil guatemalteca para garantizar la igualdad de las mujeres y prevención de todas las formas de discriminación y violencia contra la mujer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312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14:paraId="5B2ECD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3C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75AEAB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hint="default" w:ascii="Calibri" w:hAnsi="Calibri"/>
                <w:bCs/>
                <w:sz w:val="18"/>
                <w:szCs w:val="18"/>
              </w:rPr>
              <w:t>Implementada la primera fase de la PNPDIM a nivel nacional.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968F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</w:p>
        </w:tc>
      </w:tr>
      <w:tr w14:paraId="3D32EA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1A1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FEA6AA">
            <w:pPr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hint="default" w:ascii="Calibri" w:hAnsi="Calibri"/>
                <w:bCs/>
                <w:sz w:val="18"/>
                <w:szCs w:val="18"/>
              </w:rPr>
              <w:t>Fortalecido el accionar de la SEPREM en los mecanismos de avance de las mujeres como: Coordinadora Nacional para la Prevención de la Violencia Intrafamiliar y en contra de la Mujer –CONAPREVI-, la Mesa de MINPAZ-R-1325, mecanismo de la CEDAW, las comisiones de la Mujer Urbano y Rural, la plataforma nacional de cuidados, las Unidades de Género, entidades del Organismos Ejecutivo y las Direcciones municipales de la mujer.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E7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33351597">
      <w:pPr>
        <w:rPr>
          <w:sz w:val="22"/>
          <w:szCs w:val="22"/>
          <w:lang w:val="es-MX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8"/>
        <w:gridCol w:w="1191"/>
        <w:gridCol w:w="1441"/>
      </w:tblGrid>
      <w:tr w14:paraId="082A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08" w:type="dxa"/>
            <w:vAlign w:val="center"/>
          </w:tcPr>
          <w:p w14:paraId="3ACB89A7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vAlign w:val="center"/>
          </w:tcPr>
          <w:p w14:paraId="2D6CB0AC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6 Febrero </w:t>
            </w:r>
          </w:p>
        </w:tc>
        <w:tc>
          <w:tcPr>
            <w:tcW w:w="1441" w:type="dxa"/>
            <w:vAlign w:val="center"/>
          </w:tcPr>
          <w:p w14:paraId="3DC28AA1">
            <w:pPr>
              <w:jc w:val="center"/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-202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8</w:t>
            </w:r>
          </w:p>
          <w:p w14:paraId="6B4D1BA7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14:paraId="6158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697C15E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1</w:t>
            </w:r>
          </w:p>
        </w:tc>
        <w:tc>
          <w:tcPr>
            <w:tcW w:w="1191" w:type="dxa"/>
          </w:tcPr>
          <w:p w14:paraId="58607749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1441" w:type="dxa"/>
          </w:tcPr>
          <w:p w14:paraId="07CD12D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0E88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7E9226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</w:tcPr>
          <w:p w14:paraId="35DA9AE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1441" w:type="dxa"/>
          </w:tcPr>
          <w:p w14:paraId="1E75213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2AE8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6966A0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</w:tcPr>
          <w:p w14:paraId="736E98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74CE56E4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  <w:tr w14:paraId="45E4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E8E46A0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338248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DDC53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5C3D5DBC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3941EA56">
      <w:pPr>
        <w:jc w:val="both"/>
        <w:rPr>
          <w:sz w:val="14"/>
          <w:szCs w:val="14"/>
        </w:rPr>
      </w:pPr>
    </w:p>
    <w:p w14:paraId="78622CA9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Style w:val="5"/>
        <w:tblW w:w="9633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7"/>
        <w:gridCol w:w="2999"/>
        <w:gridCol w:w="1134"/>
        <w:gridCol w:w="1559"/>
        <w:gridCol w:w="1344"/>
      </w:tblGrid>
      <w:tr w14:paraId="69A814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  <w:tblHeader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8E3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24A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7.2 Prioridad nac. con que se vincula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2B5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316E94C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3B4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ejec.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enero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533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febrero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6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por Departamento/1</w:t>
            </w:r>
          </w:p>
        </w:tc>
      </w:tr>
      <w:tr w14:paraId="0AA3FE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FFD2F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733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1CCBB8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44C025F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41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9C95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0.00</w:t>
            </w:r>
          </w:p>
        </w:tc>
      </w:tr>
      <w:tr w14:paraId="7504AC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9" w:hRule="atLeast"/>
        </w:trPr>
        <w:tc>
          <w:tcPr>
            <w:tcW w:w="5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7186">
            <w:pPr>
              <w:jc w:val="center"/>
              <w:rPr>
                <w:rFonts w:hint="default" w:ascii="Calibri" w:hAnsi="Calibri" w:cs="Arial"/>
                <w:bCs/>
                <w:color w:val="000000"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 202</w:t>
            </w:r>
            <w:r>
              <w:rPr>
                <w:rFonts w:hint="default" w:ascii="Calibri" w:hAnsi="Calibri" w:cs="Arial"/>
                <w:bCs/>
                <w:color w:val="000000"/>
                <w:sz w:val="22"/>
                <w:szCs w:val="22"/>
                <w:lang w:val="es-MX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D20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D77099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0.00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076D9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0.00</w:t>
            </w:r>
          </w:p>
        </w:tc>
      </w:tr>
    </w:tbl>
    <w:p w14:paraId="4F67DCFE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 xml:space="preserve">/ </w:t>
      </w:r>
      <w:r>
        <w:rPr>
          <w:rFonts w:hint="default"/>
          <w:sz w:val="14"/>
          <w:szCs w:val="14"/>
          <w:lang w:val="es-MX"/>
        </w:rPr>
        <w:t>E</w:t>
      </w:r>
      <w:r>
        <w:rPr>
          <w:sz w:val="14"/>
          <w:szCs w:val="14"/>
        </w:rPr>
        <w:t>l cálculo del porcentaje es la relación de lo ejecutado de enero al mes reportado y lo aprobado en el Sicoin.</w:t>
      </w:r>
    </w:p>
    <w:p w14:paraId="74A1A585">
      <w:pPr>
        <w:ind w:left="-227" w:right="-57"/>
        <w:rPr>
          <w:sz w:val="14"/>
          <w:szCs w:val="14"/>
        </w:rPr>
      </w:pPr>
    </w:p>
    <w:p w14:paraId="0D5E8439">
      <w:pPr>
        <w:ind w:left="-227" w:right="-57"/>
        <w:rPr>
          <w:sz w:val="22"/>
          <w:lang w:val="es-MX"/>
        </w:rPr>
      </w:pPr>
    </w:p>
    <w:p w14:paraId="14996B08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Style w:val="5"/>
        <w:tblW w:w="554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8"/>
        <w:gridCol w:w="1616"/>
        <w:gridCol w:w="1202"/>
        <w:gridCol w:w="2382"/>
      </w:tblGrid>
      <w:tr w14:paraId="552D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3" w:hRule="atLeast"/>
        </w:trPr>
        <w:tc>
          <w:tcPr>
            <w:tcW w:w="2385" w:type="pct"/>
            <w:vAlign w:val="center"/>
          </w:tcPr>
          <w:p w14:paraId="5CABBDF6">
            <w:pPr>
              <w:jc w:val="center"/>
              <w:rPr>
                <w:rFonts w:hint="default" w:ascii="Calibri" w:hAnsi="Calibri"/>
                <w:b/>
                <w:color w:val="002060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</w:t>
            </w:r>
            <w:r>
              <w:rPr>
                <w:rFonts w:hint="default" w:ascii="Calibri" w:hAnsi="Calibri"/>
                <w:b/>
                <w:color w:val="002060"/>
                <w:sz w:val="20"/>
                <w:szCs w:val="20"/>
                <w:lang w:val="es-MX"/>
              </w:rPr>
              <w:t>6</w:t>
            </w:r>
          </w:p>
          <w:p w14:paraId="43A37F1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24EEDA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vAlign w:val="center"/>
          </w:tcPr>
          <w:p w14:paraId="58FFA27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62079840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</w:tcPr>
          <w:p w14:paraId="5868A8D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4223096A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14:paraId="4005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2385" w:type="pct"/>
            <w:noWrap/>
            <w:vAlign w:val="center"/>
          </w:tcPr>
          <w:p w14:paraId="3C629071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C4C155F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0.0</w:t>
            </w:r>
          </w:p>
        </w:tc>
        <w:tc>
          <w:tcPr>
            <w:tcW w:w="604" w:type="pct"/>
            <w:noWrap/>
            <w:vAlign w:val="center"/>
          </w:tcPr>
          <w:p w14:paraId="7DDC9A93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highlight w:val="none"/>
                <w:lang w:val="es-MX"/>
              </w:rPr>
              <w:t>0.0</w:t>
            </w:r>
          </w:p>
        </w:tc>
        <w:tc>
          <w:tcPr>
            <w:tcW w:w="1197" w:type="pct"/>
            <w:noWrap/>
            <w:vAlign w:val="center"/>
          </w:tcPr>
          <w:p w14:paraId="1322FB08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0.0</w:t>
            </w:r>
          </w:p>
        </w:tc>
      </w:tr>
    </w:tbl>
    <w:p w14:paraId="1F76923D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22D4FB43">
      <w:pPr>
        <w:jc w:val="both"/>
        <w:rPr>
          <w:sz w:val="14"/>
          <w:szCs w:val="14"/>
        </w:rPr>
      </w:pPr>
    </w:p>
    <w:p w14:paraId="5FB80FA8">
      <w:pPr>
        <w:pStyle w:val="16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DIFICULTADES ACTUALES EN LA IMPLEMENTACION /PROPUESTAS DE SOLUCIÓN</w:t>
      </w:r>
    </w:p>
    <w:p w14:paraId="333D8376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724" w:type="dxa"/>
        <w:tblInd w:w="-289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0"/>
        <w:gridCol w:w="5054"/>
      </w:tblGrid>
      <w:tr w14:paraId="155935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92121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 w14:paraId="5FA8D1F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6A8BEEE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14:paraId="2F1432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6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007B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14:paraId="6C3A7B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ED73DB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77CC">
            <w:pPr>
              <w:rPr>
                <w:rFonts w:hint="default"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hint="default" w:ascii="Calibri" w:hAnsi="Calibri" w:cs="Arial"/>
                <w:bCs/>
                <w:sz w:val="22"/>
                <w:szCs w:val="22"/>
                <w:lang w:val="es-MX"/>
              </w:rPr>
              <w:t>El desembolso de recibió el 11 de febrero del 2026.</w:t>
            </w:r>
          </w:p>
        </w:tc>
      </w:tr>
      <w:tr w14:paraId="25A1B6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9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9D7517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14:paraId="01A36F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47DA3069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8800097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14:paraId="2697AA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A839A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14:paraId="39A205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23850E68">
            <w:pPr>
              <w:ind w:right="209"/>
              <w:jc w:val="both"/>
              <w:rPr>
                <w:color w:val="000000" w:themeColor="text1"/>
                <w:sz w:val="12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42866A1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16D815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C90BD8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14:paraId="2462CC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1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59E15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7E828B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D3F2D8A">
      <w:pPr>
        <w:pStyle w:val="2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Style w:val="5"/>
        <w:tblW w:w="963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5036"/>
      </w:tblGrid>
      <w:tr w14:paraId="2A1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99" w:type="dxa"/>
          </w:tcPr>
          <w:p w14:paraId="7BC2EF81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</w:tcPr>
          <w:p w14:paraId="006B291E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Financiero:</w:t>
            </w:r>
          </w:p>
        </w:tc>
      </w:tr>
      <w:tr w14:paraId="1960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599" w:type="dxa"/>
          </w:tcPr>
          <w:p w14:paraId="08173991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</w:tcPr>
          <w:p w14:paraId="7E08242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14:paraId="7C1C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99" w:type="dxa"/>
          </w:tcPr>
          <w:p w14:paraId="19FB870F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Subdirectora de la Unidad de Gestión de la Cooperación</w:t>
            </w:r>
          </w:p>
        </w:tc>
        <w:tc>
          <w:tcPr>
            <w:tcW w:w="5036" w:type="dxa"/>
          </w:tcPr>
          <w:p w14:paraId="61790E08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Directora Financiera</w:t>
            </w:r>
          </w:p>
        </w:tc>
      </w:tr>
      <w:tr w14:paraId="5F7A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99" w:type="dxa"/>
          </w:tcPr>
          <w:p w14:paraId="6341D37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</w:tcPr>
          <w:p w14:paraId="6F59B4D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14:paraId="0170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99" w:type="dxa"/>
          </w:tcPr>
          <w:p w14:paraId="06D14674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Administrativo:</w:t>
            </w:r>
          </w:p>
        </w:tc>
        <w:tc>
          <w:tcPr>
            <w:tcW w:w="5036" w:type="dxa"/>
          </w:tcPr>
          <w:p w14:paraId="25888557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14:paraId="5CEF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99" w:type="dxa"/>
          </w:tcPr>
          <w:p w14:paraId="48650D6A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</w:tcPr>
          <w:p w14:paraId="67C07259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14:paraId="62C5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99" w:type="dxa"/>
          </w:tcPr>
          <w:p w14:paraId="73B1A556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120CF81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 Directora de la Unidad de Planificación</w:t>
            </w:r>
          </w:p>
        </w:tc>
      </w:tr>
      <w:tr w14:paraId="0868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9" w:type="dxa"/>
            <w:tcBorders>
              <w:bottom w:val="single" w:color="auto" w:sz="4" w:space="0"/>
            </w:tcBorders>
          </w:tcPr>
          <w:p w14:paraId="425D1778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85A39CD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14:paraId="255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20993B5C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Aprobado por Gerente, Director o Coordinador (Tomador de decisiones del Programa/Proyecto):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1870F1D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14:paraId="036F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48CCFB12">
            <w:pPr>
              <w:jc w:val="both"/>
              <w:rPr>
                <w:rFonts w:hint="default"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hint="default" w:ascii="Calibri" w:hAnsi="Calibri" w:cs="Arial"/>
                <w:sz w:val="20"/>
                <w:lang w:val="es-MX"/>
              </w:rPr>
              <w:t>Bertha Leonor Falla Alonzo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AC8C664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12DB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7494170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hint="default" w:ascii="Calibri" w:hAnsi="Calibri" w:cs="Arial"/>
                <w:b w:val="0"/>
                <w:bCs w:val="0"/>
                <w:sz w:val="20"/>
                <w:lang w:val="es-MX"/>
              </w:rPr>
              <w:t>D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irectora de la Unidad de Gestión de la Cooperación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0449A2B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6867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05BF6555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A9F32AA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63D47910">
      <w:pPr>
        <w:pStyle w:val="20"/>
        <w:rPr>
          <w:b/>
          <w:bCs/>
        </w:rPr>
      </w:pPr>
      <w:r>
        <w:rPr>
          <w:i/>
          <w:iCs/>
          <w:lang w:val="es-MX"/>
        </w:rPr>
        <w:t>Guatemala, 0</w:t>
      </w:r>
      <w:r>
        <w:rPr>
          <w:rFonts w:hint="default"/>
          <w:i/>
          <w:iCs/>
          <w:lang w:val="es-MX"/>
        </w:rPr>
        <w:t>3</w:t>
      </w:r>
      <w:r>
        <w:rPr>
          <w:i/>
          <w:iCs/>
          <w:lang w:val="es-MX"/>
        </w:rPr>
        <w:t xml:space="preserve"> de </w:t>
      </w:r>
      <w:r>
        <w:rPr>
          <w:rFonts w:hint="default"/>
          <w:i/>
          <w:iCs/>
          <w:lang w:val="es-MX"/>
        </w:rPr>
        <w:t>marzo</w:t>
      </w:r>
      <w:r>
        <w:rPr>
          <w:i/>
          <w:iCs/>
          <w:lang w:val="es-MX"/>
        </w:rPr>
        <w:t xml:space="preserve"> de 202</w:t>
      </w:r>
      <w:r>
        <w:rPr>
          <w:rFonts w:hint="default"/>
          <w:i/>
          <w:iCs/>
          <w:lang w:val="es-MX"/>
        </w:rPr>
        <w:t>6</w:t>
      </w:r>
      <w:r>
        <w:rPr>
          <w:i/>
          <w:iCs/>
          <w:lang w:val="es-MX"/>
        </w:rPr>
        <w:t>.</w:t>
      </w: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939" w:right="1701" w:bottom="171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0769">
    <w:pPr>
      <w:pStyle w:val="1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D196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83D6"/>
    <w:multiLevelType w:val="singleLevel"/>
    <w:tmpl w:val="8C5283D6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E5244FCA"/>
    <w:multiLevelType w:val="singleLevel"/>
    <w:tmpl w:val="E5244FCA"/>
    <w:lvl w:ilvl="0" w:tentative="0">
      <w:start w:val="17"/>
      <w:numFmt w:val="upperLetter"/>
      <w:suff w:val="space"/>
      <w:lvlText w:val="%1."/>
      <w:lvlJc w:val="left"/>
    </w:lvl>
  </w:abstractNum>
  <w:abstractNum w:abstractNumId="2">
    <w:nsid w:val="FFFFFF83"/>
    <w:multiLevelType w:val="singleLevel"/>
    <w:tmpl w:val="FFFFFF83"/>
    <w:lvl w:ilvl="0" w:tentative="0">
      <w:start w:val="1"/>
      <w:numFmt w:val="bullet"/>
      <w:pStyle w:val="1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47B95316"/>
    <w:multiLevelType w:val="multilevel"/>
    <w:tmpl w:val="47B95316"/>
    <w:lvl w:ilvl="0" w:tentative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4">
    <w:nsid w:val="48FB7C0E"/>
    <w:multiLevelType w:val="multilevel"/>
    <w:tmpl w:val="48FB7C0E"/>
    <w:lvl w:ilvl="0" w:tentative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607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153AD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B686F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5592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528EE"/>
    <w:rsid w:val="00D6396C"/>
    <w:rsid w:val="00D66B23"/>
    <w:rsid w:val="00D8195F"/>
    <w:rsid w:val="00D91EB7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2EAF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A4360B"/>
    <w:rsid w:val="04E7B072"/>
    <w:rsid w:val="05AF4D01"/>
    <w:rsid w:val="08076EAB"/>
    <w:rsid w:val="08976DFB"/>
    <w:rsid w:val="08CC6ED9"/>
    <w:rsid w:val="09CD4027"/>
    <w:rsid w:val="0B0306F2"/>
    <w:rsid w:val="0BA15F71"/>
    <w:rsid w:val="0BCC0CD7"/>
    <w:rsid w:val="0C604FAD"/>
    <w:rsid w:val="0D874C1A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7653E74"/>
    <w:rsid w:val="18306440"/>
    <w:rsid w:val="19C225DA"/>
    <w:rsid w:val="1BA60940"/>
    <w:rsid w:val="1BC532FD"/>
    <w:rsid w:val="1C40D093"/>
    <w:rsid w:val="1CCB3A86"/>
    <w:rsid w:val="1CD51C65"/>
    <w:rsid w:val="1DFF947E"/>
    <w:rsid w:val="1F352AD6"/>
    <w:rsid w:val="20E688BD"/>
    <w:rsid w:val="2197D6FC"/>
    <w:rsid w:val="228E600D"/>
    <w:rsid w:val="229F6C4E"/>
    <w:rsid w:val="2473C763"/>
    <w:rsid w:val="24CA1A14"/>
    <w:rsid w:val="24E9FABB"/>
    <w:rsid w:val="250312B7"/>
    <w:rsid w:val="25254499"/>
    <w:rsid w:val="2606301C"/>
    <w:rsid w:val="27B82E8E"/>
    <w:rsid w:val="290A23AF"/>
    <w:rsid w:val="29F06376"/>
    <w:rsid w:val="2A2DECFC"/>
    <w:rsid w:val="2A3530F8"/>
    <w:rsid w:val="2AEF361E"/>
    <w:rsid w:val="2B1F697E"/>
    <w:rsid w:val="2C31229E"/>
    <w:rsid w:val="2CEA6666"/>
    <w:rsid w:val="2CEB423C"/>
    <w:rsid w:val="2F629825"/>
    <w:rsid w:val="30875E4A"/>
    <w:rsid w:val="327DF097"/>
    <w:rsid w:val="34699ED8"/>
    <w:rsid w:val="34D058B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6B8699C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6B6274"/>
    <w:rsid w:val="54E2F54D"/>
    <w:rsid w:val="5597553F"/>
    <w:rsid w:val="55D71575"/>
    <w:rsid w:val="56F87147"/>
    <w:rsid w:val="5798476D"/>
    <w:rsid w:val="595B7932"/>
    <w:rsid w:val="59C54587"/>
    <w:rsid w:val="5B17D5F1"/>
    <w:rsid w:val="5D3D4E40"/>
    <w:rsid w:val="5E815901"/>
    <w:rsid w:val="5EA36701"/>
    <w:rsid w:val="5F255361"/>
    <w:rsid w:val="61E92274"/>
    <w:rsid w:val="62130A1D"/>
    <w:rsid w:val="62289613"/>
    <w:rsid w:val="629618D8"/>
    <w:rsid w:val="6408B3FD"/>
    <w:rsid w:val="67494DFB"/>
    <w:rsid w:val="675D5E3A"/>
    <w:rsid w:val="6B0D1461"/>
    <w:rsid w:val="6B181824"/>
    <w:rsid w:val="6BA04944"/>
    <w:rsid w:val="6D32421A"/>
    <w:rsid w:val="6D475C96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66F5AFF"/>
    <w:rsid w:val="7A4435C3"/>
    <w:rsid w:val="7AC91B69"/>
    <w:rsid w:val="7C501B85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otnote reference"/>
    <w:basedOn w:val="4"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footnote text"/>
    <w:basedOn w:val="1"/>
    <w:link w:val="3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1">
    <w:name w:val="caption"/>
    <w:basedOn w:val="1"/>
    <w:next w:val="1"/>
    <w:unhideWhenUsed/>
    <w:qFormat/>
    <w:uiPriority w:val="0"/>
    <w:pPr>
      <w:spacing w:after="200"/>
    </w:pPr>
    <w:rPr>
      <w:rFonts w:ascii="Times New Roman" w:hAnsi="Times New Roman" w:eastAsia="Times New Roman" w:cs="Times New Roman"/>
      <w:b/>
      <w:bCs/>
      <w:color w:val="4472C4" w:themeColor="accent1"/>
      <w:kern w:val="0"/>
      <w:sz w:val="18"/>
      <w:szCs w:val="18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12">
    <w:name w:val="annotation subject"/>
    <w:basedOn w:val="13"/>
    <w:next w:val="13"/>
    <w:link w:val="35"/>
    <w:qFormat/>
    <w:uiPriority w:val="0"/>
    <w:rPr>
      <w:b/>
      <w:bCs/>
    </w:rPr>
  </w:style>
  <w:style w:type="paragraph" w:styleId="13">
    <w:name w:val="annotation text"/>
    <w:basedOn w:val="1"/>
    <w:link w:val="3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4">
    <w:name w:val="Balloon Text"/>
    <w:basedOn w:val="1"/>
    <w:link w:val="28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List"/>
    <w:basedOn w:val="1"/>
    <w:qFormat/>
    <w:uiPriority w:val="0"/>
    <w:pPr>
      <w:ind w:left="283" w:hanging="283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7">
    <w:name w:val="List Bullet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Subtitle"/>
    <w:basedOn w:val="1"/>
    <w:next w:val="1"/>
    <w:link w:val="31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20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21">
    <w:name w:val="Title"/>
    <w:basedOn w:val="1"/>
    <w:next w:val="1"/>
    <w:link w:val="29"/>
    <w:qFormat/>
    <w:uiPriority w:val="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22">
    <w:name w:val="Table Grid"/>
    <w:basedOn w:val="5"/>
    <w:qFormat/>
    <w:uiPriority w:val="0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Encabezado Car"/>
    <w:basedOn w:val="4"/>
    <w:link w:val="15"/>
    <w:qFormat/>
    <w:uiPriority w:val="99"/>
  </w:style>
  <w:style w:type="character" w:customStyle="1" w:styleId="24">
    <w:name w:val="Pie de página Car"/>
    <w:basedOn w:val="4"/>
    <w:link w:val="18"/>
    <w:qFormat/>
    <w:uiPriority w:val="99"/>
  </w:style>
  <w:style w:type="character" w:customStyle="1" w:styleId="25">
    <w:name w:val="Título 1 Car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26">
    <w:name w:val="Título 2 Car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customStyle="1" w:styleId="27">
    <w:name w:val="a"/>
    <w:basedOn w:val="4"/>
    <w:qFormat/>
    <w:uiPriority w:val="0"/>
  </w:style>
  <w:style w:type="character" w:customStyle="1" w:styleId="28">
    <w:name w:val="Texto de globo Car"/>
    <w:basedOn w:val="4"/>
    <w:link w:val="14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29">
    <w:name w:val="Título Car"/>
    <w:basedOn w:val="4"/>
    <w:link w:val="21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30">
    <w:name w:val="Texto independiente Car"/>
    <w:basedOn w:val="4"/>
    <w:link w:val="20"/>
    <w:qFormat/>
    <w:uiPriority w:val="0"/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character" w:customStyle="1" w:styleId="31">
    <w:name w:val="Subtítulo Car"/>
    <w:basedOn w:val="4"/>
    <w:link w:val="19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s-GT" w:eastAsia="es-ES" w:bidi="ar-SA"/>
    </w:rPr>
  </w:style>
  <w:style w:type="character" w:customStyle="1" w:styleId="34">
    <w:name w:val="Texto comentario Car"/>
    <w:basedOn w:val="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5">
    <w:name w:val="Asunto del comentario Car"/>
    <w:basedOn w:val="34"/>
    <w:link w:val="12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36">
    <w:name w:val="Texto nota pie Car"/>
    <w:basedOn w:val="4"/>
    <w:link w:val="1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7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ón1"/>
    <w:hidden/>
    <w:semiHidden/>
    <w:qFormat/>
    <w:uiPriority w:val="99"/>
    <w:rPr>
      <w:rFonts w:asciiTheme="minorHAnsi" w:hAnsiTheme="minorHAnsi" w:eastAsiaTheme="minorHAnsi" w:cstheme="minorBidi"/>
      <w:sz w:val="24"/>
      <w:szCs w:val="24"/>
      <w:lang w:val="es-GT" w:eastAsia="en-US" w:bidi="ar-SA"/>
    </w:rPr>
  </w:style>
  <w:style w:type="character" w:customStyle="1" w:styleId="39">
    <w:name w:val="Mención sin resolver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89D1E-8CF8-4CC9-BC0B-B855D094CCAF}">
  <ds:schemaRefs/>
</ds:datastoreItem>
</file>

<file path=customXml/itemProps2.xml><?xml version="1.0" encoding="utf-8"?>
<ds:datastoreItem xmlns:ds="http://schemas.openxmlformats.org/officeDocument/2006/customXml" ds:itemID="{058CA62F-0A32-4C71-BFD1-DEB25E1502AE}">
  <ds:schemaRefs/>
</ds:datastoreItem>
</file>

<file path=customXml/itemProps3.xml><?xml version="1.0" encoding="utf-8"?>
<ds:datastoreItem xmlns:ds="http://schemas.openxmlformats.org/officeDocument/2006/customXml" ds:itemID="{08693DA2-C88E-4B64-932B-CF1E0C64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1898</Words>
  <Characters>10443</Characters>
  <Lines>87</Lines>
  <Paragraphs>24</Paragraphs>
  <TotalTime>15</TotalTime>
  <ScaleCrop>false</ScaleCrop>
  <LinksUpToDate>false</LinksUpToDate>
  <CharactersWithSpaces>12317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2025-12-01T20:15:00Z</dcterms:created>
  <dc:creator>viCtor arrivillaga</dc:creator>
  <cp:lastModifiedBy>ctrujillo</cp:lastModifiedBy>
  <cp:lastPrinted>2026-03-03T15:11:59Z</cp:lastPrinted>
  <dcterms:modified xsi:type="dcterms:W3CDTF">2026-03-03T15:12:09Z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2058-12.2.0.23196</vt:lpwstr>
  </property>
  <property fmtid="{D5CDD505-2E9C-101B-9397-08002B2CF9AE}" pid="4" name="ICV">
    <vt:lpwstr>18CC5771C90546C195317D1293A89FF5_13</vt:lpwstr>
  </property>
</Properties>
</file>