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86E5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182ED882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5834BA7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79E2F6EB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13278757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4A99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6E7FD2B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  <w:shd w:val="clear" w:color="auto" w:fill="auto"/>
          </w:tcPr>
          <w:p w14:paraId="38C3CCF0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 w:themeTint="FF"/>
                <w:sz w:val="20"/>
                <w:szCs w:val="20"/>
                <w:lang w:val="es-MX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OCTUBRE</w:t>
            </w: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2025</w:t>
            </w:r>
          </w:p>
        </w:tc>
      </w:tr>
      <w:tr w14:paraId="7C96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  <w:shd w:val="clear" w:color="auto" w:fill="auto"/>
          </w:tcPr>
          <w:p w14:paraId="0CA008C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  <w:shd w:val="clear" w:color="auto" w:fill="auto"/>
          </w:tcPr>
          <w:p w14:paraId="727E913D">
            <w:pPr>
              <w:tabs>
                <w:tab w:val="center" w:pos="3506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2025</w:t>
            </w:r>
          </w:p>
        </w:tc>
      </w:tr>
      <w:tr w14:paraId="5B10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  <w:shd w:val="clear" w:color="auto" w:fill="auto"/>
          </w:tcPr>
          <w:p w14:paraId="3D4A383B">
            <w:pPr>
              <w:rPr>
                <w:rFonts w:ascii="Calibri" w:hAnsi="Calibri" w:cs="Arial"/>
                <w:sz w:val="20"/>
                <w:highlight w:val="none"/>
              </w:rPr>
            </w:pPr>
            <w:r>
              <w:rPr>
                <w:rFonts w:ascii="Calibri" w:hAnsi="Calibri" w:cs="Arial"/>
                <w:sz w:val="20"/>
                <w:highlight w:val="none"/>
              </w:rPr>
              <w:t>Fecha de envío:</w:t>
            </w:r>
          </w:p>
        </w:tc>
        <w:tc>
          <w:tcPr>
            <w:tcW w:w="7153" w:type="dxa"/>
            <w:shd w:val="clear" w:color="auto" w:fill="auto"/>
          </w:tcPr>
          <w:p w14:paraId="635BFD48">
            <w:pPr>
              <w:rPr>
                <w:rFonts w:ascii="Calibri" w:hAnsi="Calibri" w:cs="Arial"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sz w:val="20"/>
                <w:szCs w:val="20"/>
                <w:highlight w:val="none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6</w:t>
            </w:r>
            <w:r>
              <w:rPr>
                <w:rFonts w:ascii="Calibri" w:hAnsi="Calibri" w:cs="Arial"/>
                <w:sz w:val="20"/>
                <w:szCs w:val="20"/>
                <w:highlight w:val="none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11</w:t>
            </w:r>
            <w:r>
              <w:rPr>
                <w:rFonts w:ascii="Calibri" w:hAnsi="Calibri" w:cs="Arial"/>
                <w:sz w:val="20"/>
                <w:szCs w:val="20"/>
                <w:highlight w:val="none"/>
              </w:rPr>
              <w:t>/2025</w:t>
            </w:r>
          </w:p>
        </w:tc>
      </w:tr>
      <w:tr w14:paraId="7D6C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8545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0B37F98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5693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0A21C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53BEB784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6892DD93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654B4032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4CE1AF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2EA984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28262B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74A3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D873C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21D5A8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2758E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14B0F6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055313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CA1CC3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6255712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9FA45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765C07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A12D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22E6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2158FD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250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BB3AE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20D3B1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DFEB83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EE786A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E515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58F553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0F02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8E1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54F7F4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4F33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36EA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78E40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7250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FA64B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CB9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21AA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Lilian Patricia Villatoro Pérez / 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 xml:space="preserve">Directora de la 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Unidad de Planificación</w:t>
            </w:r>
          </w:p>
        </w:tc>
      </w:tr>
      <w:tr w14:paraId="524C29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A8294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467BA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4EE9B8A2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775D068D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0B541BF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636002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1380C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168EB55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347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C9B5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0D6D6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76D1891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D67E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64A4B2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F238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31C3D4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1BE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8CA16C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975A9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10005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2D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CEF56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E1C49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0F1713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5EB6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6F48CD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8D4C4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E58A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E918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51F6BD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39344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2AEE71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A8E1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74945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B5D7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2CB9EB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044E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7D0F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98401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737E7035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2461B8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3A0E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441CC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DFCD8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B997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B4EA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2485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49B9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20AEE0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50BE6C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60B7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323C8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08F09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C553E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6E0222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E75215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4E9B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5DAB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510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80C06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0612F9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F3D2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53A5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CD1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62CCC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69EB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0A618B7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25B4ED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20EB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1CBC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F347E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AC5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35B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BA4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4EC69D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06AF59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1A63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3B29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69CA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37D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1AD2E7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8912D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51BE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D07B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D252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671A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28087040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7B98D7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1B1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18BD13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532BF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F8943D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BD39C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1CD4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0DB8D4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A54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646A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3B30">
            <w:pPr>
              <w:jc w:val="center"/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25/12/2024</w:t>
            </w:r>
          </w:p>
          <w:p w14:paraId="3AA5FA0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5E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</w:tbl>
    <w:p w14:paraId="2AE0C266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776842E8"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E9149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0CA3C2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BB09E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A4C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5E24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692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A821D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0B1458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4B6BF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7E6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5E88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73D3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0613143A"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6C0F7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9B1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BDF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C68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4FBB9EE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235195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8B687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F356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43CCEB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C6A9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70E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261C0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6CF785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22592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0F5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0F9B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4A2CDD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0619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D8AB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E8D3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5CD38E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E86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C445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58CB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50F776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0E14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A0B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2639EEFB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1D72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2E1A1183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64F47A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1E92DA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382765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1AE0B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C3B5A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37EDC83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6DA2A8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A78AE8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2CB6693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02AFBD5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C0BD977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668092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41AF9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9F3C84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8562B72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CCD995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B3EDE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D7372B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10528E2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FE1B60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86D1155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298F75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5FAAC9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CBB36B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2F67AC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6A8ECC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1E9BC3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F9EF4A6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B009D3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01C79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6DB3E9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38B5AE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55455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11F9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BE41E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5425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22DBE3E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FE83F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77D0F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4A5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BB4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73B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4F20FA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66A3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23B5FDED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B322F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4BEE7C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3DDB99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431E561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 w:themeTint="FF"/>
                <w:sz w:val="20"/>
                <w:szCs w:val="20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ABF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9DDD3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C0AF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552B85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FEA541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14:paraId="6D16886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ABBF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88EA2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B1588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C5F3E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6EB09F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B792AA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822AC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2308AD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F4A43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4C865B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B29A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027D22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F20152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296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6913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4E4848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A25615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CDA383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6BB32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53F4F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24073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258891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8AAA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1880E6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5A7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6CA6E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80D1F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03380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47D2BB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9516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373D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FE02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6982C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8BAA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6E9839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264892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E257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22F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EF4B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F09A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3469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2D4B9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2E3FA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D75C4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B90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911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78BDEF8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9AA4B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F0EB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41B6F9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D0073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B211C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61446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B05D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B75F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ABA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370E79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338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B9C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2C51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F714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CA531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1809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71167E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E6F0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D684E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5B3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C3E6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B6E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DF99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23083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FFBE62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76CF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C6F3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353E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6338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3E3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3EE1EC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A37933A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8180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F677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20C2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69745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A1C3D1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FFAC0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7081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0E96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3E9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5C13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3A77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7FF7380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1C7E17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19A3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670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87DA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964DC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F02B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297052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A2D952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1BFB19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CBF1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B38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8303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DE2A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0F553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5137745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66D37D96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504AE8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85D66E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802C3A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2D86FC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A04A2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7AABA0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E368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DC90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60D6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CE58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Q. 734,989.46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F812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7E4ACA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BD93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97E5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04AC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2CF6C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5C558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3360EBF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5265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shd w:val="clear" w:color="auto" w:fill="auto"/>
            <w:noWrap/>
            <w:vAlign w:val="center"/>
          </w:tcPr>
          <w:p w14:paraId="5BE0A2A1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shd w:val="clear" w:color="auto" w:fill="auto"/>
            <w:noWrap/>
            <w:vAlign w:val="bottom"/>
          </w:tcPr>
          <w:p w14:paraId="53CBF43F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242C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40408CE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shd w:val="clear" w:color="auto" w:fill="auto"/>
            <w:noWrap/>
            <w:vAlign w:val="center"/>
          </w:tcPr>
          <w:p w14:paraId="076AC6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2644458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08E7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5D15243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shd w:val="clear" w:color="auto" w:fill="auto"/>
            <w:noWrap/>
          </w:tcPr>
          <w:p w14:paraId="0F1B39E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228950A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386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shd w:val="clear" w:color="auto" w:fill="auto"/>
            <w:noWrap/>
          </w:tcPr>
          <w:p w14:paraId="3E120CD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shd w:val="clear" w:color="auto" w:fill="auto"/>
            <w:noWrap/>
          </w:tcPr>
          <w:p w14:paraId="5582BC8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shd w:val="clear" w:color="auto" w:fill="auto"/>
            <w:noWrap/>
            <w:vAlign w:val="bottom"/>
          </w:tcPr>
          <w:p w14:paraId="1386E0D5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2433912E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45C5F72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6955457C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579399">
            <w:pP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5A54CF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56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64B785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4E1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CA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5E0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5EC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16A73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9F8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A88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6429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5F7D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00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5372E1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39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4E0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2725C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15A6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356C93D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430E84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A32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4D05F14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AF0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5EC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2042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275DA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FF28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82DB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42702E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B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94B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20D4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63CC1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5ACDA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C500E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BFC832">
            <w:pPr>
              <w:jc w:val="center"/>
              <w:rPr>
                <w:color w:val="000000"/>
              </w:rPr>
            </w:pPr>
          </w:p>
        </w:tc>
      </w:tr>
      <w:tr w14:paraId="2EB3A7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87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F72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6A6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74204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C87AB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9D7A78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703526">
            <w:pPr>
              <w:jc w:val="center"/>
            </w:pPr>
          </w:p>
        </w:tc>
      </w:tr>
      <w:tr w14:paraId="3D6FA8E0"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280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0DE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DD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2B1CEA6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4A516E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034771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D87E3C">
            <w:pPr>
              <w:jc w:val="center"/>
            </w:pPr>
          </w:p>
        </w:tc>
      </w:tr>
    </w:tbl>
    <w:p w14:paraId="1CD78FE8">
      <w:pPr>
        <w:pStyle w:val="16"/>
        <w:ind w:left="436" w:firstLine="0"/>
        <w:rPr>
          <w:sz w:val="22"/>
          <w:lang w:val="es-MX"/>
        </w:rPr>
      </w:pPr>
    </w:p>
    <w:p w14:paraId="694EBDEF">
      <w:pPr>
        <w:pStyle w:val="16"/>
        <w:ind w:left="436" w:firstLine="0"/>
        <w:rPr>
          <w:sz w:val="22"/>
          <w:lang w:val="es-MX"/>
        </w:rPr>
      </w:pPr>
    </w:p>
    <w:p w14:paraId="7FAE747C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3D4E81FB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3C92A64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B7B474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3EFB90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01A6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7036C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1C489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0D929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E58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6A4B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A7F89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18F4D2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DB922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5E4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924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939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0ED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D39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923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007ACC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4F4F04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FFC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5F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77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034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0F7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288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6F883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22F1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B2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EE2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8E5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7F9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479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BB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6D06719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53B679D6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3E76EA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19D29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4.2 Detalle de ejecución de los aportes del cooperante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Octubre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2025 (montos en Quetzales)</w:t>
            </w:r>
          </w:p>
        </w:tc>
      </w:tr>
      <w:tr w14:paraId="6B6C61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309BBA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7714658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FA472DD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52D75A68">
            <w:pPr>
              <w:jc w:val="center"/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AB4249E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5BED9D4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octubre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13EFA3D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acumulado2023-2025</w:t>
            </w:r>
          </w:p>
        </w:tc>
      </w:tr>
      <w:tr w14:paraId="292178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4D7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871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C51D">
            <w:pPr>
              <w:jc w:val="right"/>
              <w:rPr>
                <w:rFonts w:ascii="Calibri" w:hAnsi="Calibri" w:cs="Arial"/>
                <w:sz w:val="18"/>
                <w:szCs w:val="18"/>
                <w:highlight w:val="none"/>
              </w:rPr>
            </w:pPr>
            <w:r>
              <w:rPr>
                <w:rFonts w:ascii="Calibri" w:hAnsi="Calibri" w:cs="Arial"/>
                <w:sz w:val="18"/>
                <w:szCs w:val="18"/>
                <w:highlight w:val="none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CD1D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37,600.00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BAD0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82.78</w:t>
            </w:r>
          </w:p>
        </w:tc>
      </w:tr>
      <w:tr w14:paraId="09A402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30B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1E3F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261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F39A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647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10.92</w:t>
            </w:r>
          </w:p>
        </w:tc>
      </w:tr>
      <w:tr w14:paraId="5BD19E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56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F660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A4C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5EE5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6E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71D66F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04AC0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 w:themeTint="FF"/>
                <w:sz w:val="18"/>
                <w:szCs w:val="18"/>
                <w14:textFill>
                  <w14:solidFill>
                    <w14:schemeClr w14:val="accent1">
                      <w14:lumMod w14:val="100000"/>
                      <w14:lumOff w14:val="0"/>
                    </w14:schemeClr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7141">
            <w:pPr>
              <w:jc w:val="right"/>
              <w:rPr>
                <w:rFonts w:ascii="Calibri" w:hAnsi="Calibri" w:cs="Arial"/>
                <w:sz w:val="18"/>
                <w:szCs w:val="18"/>
                <w:highlight w:val="none"/>
              </w:rPr>
            </w:pPr>
            <w:r>
              <w:rPr>
                <w:rFonts w:ascii="Calibri" w:hAnsi="Calibri" w:cs="Arial"/>
                <w:sz w:val="18"/>
                <w:szCs w:val="18"/>
                <w:highlight w:val="none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ABB8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37,600.00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B45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80.67</w:t>
            </w:r>
          </w:p>
        </w:tc>
      </w:tr>
    </w:tbl>
    <w:p w14:paraId="4542423C">
      <w:pPr>
        <w:pStyle w:val="32"/>
        <w:numPr>
          <w:ilvl w:val="0"/>
          <w:numId w:val="3"/>
        </w:numPr>
        <w:ind w:right="-57"/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 w:themeTint="FF"/>
          <w:sz w:val="16"/>
          <w:szCs w:val="16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Se realizó el ajuste a todos los porcentajes con base a la ejecución 2024</w:t>
      </w:r>
    </w:p>
    <w:p w14:paraId="74EE848A">
      <w:pPr>
        <w:ind w:left="-227" w:right="-57"/>
        <w:jc w:val="both"/>
        <w:rPr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393CD1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3CE44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20A8C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45DFC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A692A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0D552E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BD9F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6941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76AC977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3A96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2F6225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AFA7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69472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9B99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2EB4B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9709D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63365021">
      <w:pPr>
        <w:pStyle w:val="16"/>
        <w:ind w:left="0" w:firstLine="0"/>
        <w:rPr>
          <w:b/>
          <w:bCs/>
          <w:sz w:val="16"/>
          <w:lang w:val="es-MX"/>
        </w:rPr>
      </w:pPr>
    </w:p>
    <w:p w14:paraId="35ACDB3B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</w:t>
      </w:r>
      <w:r>
        <w:rPr>
          <w:rFonts w:hint="default"/>
          <w:sz w:val="20"/>
          <w:lang w:val="es-MX"/>
        </w:rPr>
        <w:t>Ó</w:t>
      </w:r>
      <w:r>
        <w:rPr>
          <w:sz w:val="20"/>
          <w:lang w:val="es-MX"/>
        </w:rPr>
        <w:t>N PRESUPUESTARIA</w:t>
      </w:r>
    </w:p>
    <w:p w14:paraId="436326B9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73A4A5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5B33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625A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F57D4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9111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D19E96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BDA475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383D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D28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7CC0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DBF95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Enero                         Q. 29,000.00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9910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29,000.00</w:t>
            </w:r>
          </w:p>
        </w:tc>
      </w:tr>
      <w:tr w14:paraId="1075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73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B8EEA">
            <w:pPr>
              <w:ind w:left="0"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Diciembre  </w:t>
            </w:r>
            <w:r>
              <w:rPr>
                <w:rFonts w:hint="default" w:asciiTheme="minorAscii" w:hAnsiTheme="minorAscii" w:eastAsiaTheme="minorAscii" w:cstheme="minorBidi"/>
                <w:color w:val="auto"/>
                <w:sz w:val="18"/>
                <w:szCs w:val="18"/>
                <w:lang w:val="es-MX" w:eastAsia="en-US" w:bidi="ar-SA"/>
              </w:rPr>
              <w:t xml:space="preserve">              </w:t>
            </w:r>
            <w:r>
              <w:rPr>
                <w:rFonts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68D5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   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Q. 61,967.74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9E0E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90,967.74</w:t>
            </w:r>
          </w:p>
        </w:tc>
      </w:tr>
      <w:tr w14:paraId="6B45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99B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74D7B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43F47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47,000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C473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137,967.74</w:t>
            </w:r>
          </w:p>
        </w:tc>
      </w:tr>
      <w:tr w14:paraId="069E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CD3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459F8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C78A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62,00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C83F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60B5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09D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D904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860A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AEEBD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382D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691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1521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64C6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93,000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E4A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292,967.74</w:t>
            </w:r>
          </w:p>
        </w:tc>
      </w:tr>
      <w:tr w14:paraId="040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0887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1F6D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86663F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D732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308,967.74</w:t>
            </w:r>
          </w:p>
        </w:tc>
      </w:tr>
      <w:tr w14:paraId="0E76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8C51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49DEC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58DCF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4DF32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324,967.74</w:t>
            </w:r>
          </w:p>
        </w:tc>
      </w:tr>
      <w:tr w14:paraId="714F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4C8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F6008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40B51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2F85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340,967.74</w:t>
            </w:r>
          </w:p>
        </w:tc>
      </w:tr>
      <w:tr w14:paraId="7D03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4FF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CFE7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ABEE5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37,60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A59C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378,567.74</w:t>
            </w:r>
          </w:p>
        </w:tc>
      </w:tr>
      <w:tr w14:paraId="3C47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D88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749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C46E8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Noviembre           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911AA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  <w:tr w14:paraId="05B8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902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EDF3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5EE5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448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</w:tbl>
    <w:p w14:paraId="2343B943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065E1E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6FE14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2025</w:t>
            </w:r>
          </w:p>
        </w:tc>
      </w:tr>
      <w:tr w14:paraId="470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9A20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89F162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E2CB2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5785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5721F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58000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1826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636B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ED610C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B0D20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76AAD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83DDF5">
            <w:pPr>
              <w:numPr>
                <w:ilvl w:val="0"/>
                <w:numId w:val="5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29,000.0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E6C5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5.8</w:t>
            </w:r>
          </w:p>
        </w:tc>
      </w:tr>
      <w:tr w14:paraId="724A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27E5A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A1C4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09DE3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250,991.00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9E1F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750,991.00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39839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Q.  61,967.74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79AF6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8.25</w:t>
            </w:r>
          </w:p>
        </w:tc>
      </w:tr>
      <w:tr w14:paraId="0033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AC2B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D9A1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0E7AC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88937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8CE843">
            <w:pPr>
              <w:numPr>
                <w:ilvl w:val="0"/>
                <w:numId w:val="6"/>
              </w:num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47,000.00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B70B22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6.26</w:t>
            </w:r>
          </w:p>
        </w:tc>
      </w:tr>
      <w:tr w14:paraId="201C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49C93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B8DF1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52EE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A4490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921FA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62,000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D4430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8.26</w:t>
            </w:r>
          </w:p>
        </w:tc>
      </w:tr>
      <w:tr w14:paraId="0B99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53278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1FDD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871C5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5648A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2E5157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F33732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A8E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F7B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47497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DB56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8F131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DB8F67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93,000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193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12.38</w:t>
            </w:r>
          </w:p>
        </w:tc>
      </w:tr>
      <w:tr w14:paraId="35E6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A70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870BC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DB2AB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226A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930BF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3F27CB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031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1CCF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5FE5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FE9A4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7226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375019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08A865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6988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E8502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C196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BDC01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7E0A9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69287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41F608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DBF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290AE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B946EF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71461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9B4DF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0A62CF">
            <w:pPr>
              <w:jc w:val="center"/>
              <w:rPr>
                <w:rFonts w:hint="default" w:ascii="Calibri" w:hAnsi="Calibri" w:cs="Arial"/>
                <w:sz w:val="16"/>
                <w:szCs w:val="16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highlight w:val="none"/>
                <w:lang w:val="es-MX"/>
              </w:rPr>
              <w:t>Q. 37,60</w:t>
            </w:r>
            <w:r>
              <w:rPr>
                <w:rFonts w:ascii="Calibri" w:hAnsi="Calibri" w:cs="Arial"/>
                <w:sz w:val="16"/>
                <w:szCs w:val="16"/>
                <w:highlight w:val="none"/>
              </w:rPr>
              <w:t>0.0</w:t>
            </w:r>
            <w:r>
              <w:rPr>
                <w:rFonts w:hint="default" w:ascii="Calibri" w:hAnsi="Calibri" w:cs="Arial"/>
                <w:sz w:val="16"/>
                <w:szCs w:val="16"/>
                <w:highlight w:val="none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7D58AC">
            <w:pPr>
              <w:jc w:val="center"/>
              <w:rPr>
                <w:rFonts w:hint="default" w:ascii="Calibri" w:hAnsi="Calibri" w:cs="Arial"/>
                <w:sz w:val="16"/>
                <w:szCs w:val="16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highlight w:val="none"/>
                <w:lang w:val="es-MX"/>
              </w:rPr>
              <w:t>5.01</w:t>
            </w:r>
          </w:p>
        </w:tc>
      </w:tr>
      <w:tr w14:paraId="3ACA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846F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A7113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4BB67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A373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99B77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21627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  <w:tr w14:paraId="3FE0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45512F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483B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1736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9BB4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6D07F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D6434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</w:tbl>
    <w:p w14:paraId="4B06BF58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61F6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6D11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B30E61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5DF6D93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55E5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5B650328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4D36F716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50B1F3DD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7293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36557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2025</w:t>
            </w:r>
          </w:p>
        </w:tc>
      </w:tr>
      <w:tr w14:paraId="0FD7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83F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1E88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1942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D563D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2333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44CC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43A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3DAA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2E8F38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D36540">
            <w:pPr>
              <w:rPr>
                <w:rFonts w:cs="Arial"/>
                <w:color w:val="222A35" w:themeColor="text2" w:themeShade="80"/>
                <w:sz w:val="16"/>
                <w:szCs w:val="18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2025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1E00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 xml:space="preserve">Q 340,312.71 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9D3F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   378,160.91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A9FC05B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Q     16,515.84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A3695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Q  734,989.46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10CA889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5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F48E4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6C7249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D693974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Q. 199,967.74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CDF64C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Q.    125,000.0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6EB5D4">
            <w:pPr>
              <w:jc w:val="center"/>
              <w:rPr>
                <w:rFonts w:ascii="Calibri" w:hAnsi="Calibri" w:cs="Arial"/>
                <w:sz w:val="16"/>
                <w:szCs w:val="18"/>
                <w:highlight w:val="none"/>
              </w:rPr>
            </w:pPr>
            <w:r>
              <w:rPr>
                <w:rFonts w:hint="default" w:ascii="Calibri" w:hAnsi="Calibri" w:cs="Arial"/>
                <w:sz w:val="16"/>
                <w:szCs w:val="18"/>
                <w:highlight w:val="none"/>
                <w:lang w:val="es-MX"/>
              </w:rPr>
              <w:t>Q. 53,60</w:t>
            </w:r>
            <w:r>
              <w:rPr>
                <w:rFonts w:ascii="Calibri" w:hAnsi="Calibri" w:cs="Arial"/>
                <w:sz w:val="16"/>
                <w:szCs w:val="18"/>
                <w:highlight w:val="none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422F01">
            <w:pPr>
              <w:jc w:val="center"/>
              <w:rPr>
                <w:rFonts w:hint="default"/>
                <w:sz w:val="16"/>
                <w:szCs w:val="16"/>
                <w:highlight w:val="none"/>
                <w:lang w:val="es-MX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es-MX"/>
              </w:rPr>
              <w:t>Q. 378,567.74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011FA8D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center"/>
              <w:rPr>
                <w:rFonts w:hint="default"/>
                <w:highlight w:val="none"/>
                <w:lang w:val="es-MX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es-MX"/>
              </w:rPr>
              <w:t>Q. 37,600.00</w:t>
            </w:r>
          </w:p>
        </w:tc>
      </w:tr>
      <w:tr w14:paraId="6EE7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B8105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C3A134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F0C1C2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58.76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A21E2E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33.05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C6C7BCA">
            <w:pPr>
              <w:jc w:val="center"/>
              <w:rPr>
                <w:rFonts w:hint="default"/>
                <w:sz w:val="16"/>
                <w:szCs w:val="18"/>
                <w:highlight w:val="none"/>
                <w:lang w:val="es-MX"/>
              </w:rPr>
            </w:pPr>
            <w:r>
              <w:rPr>
                <w:rFonts w:hint="default"/>
                <w:sz w:val="16"/>
                <w:szCs w:val="18"/>
                <w:highlight w:val="none"/>
                <w:lang w:val="es-MX"/>
              </w:rPr>
              <w:t>324.53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D5CD3F">
            <w:pPr>
              <w:jc w:val="center"/>
              <w:rPr>
                <w:rFonts w:hint="default"/>
                <w:sz w:val="16"/>
                <w:szCs w:val="16"/>
                <w:highlight w:val="none"/>
                <w:lang w:val="es-MX"/>
              </w:rPr>
            </w:pPr>
            <w:r>
              <w:rPr>
                <w:rFonts w:hint="default"/>
                <w:sz w:val="16"/>
                <w:szCs w:val="16"/>
                <w:highlight w:val="none"/>
                <w:lang w:val="es-MX"/>
              </w:rPr>
              <w:t>51.51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2FD410">
            <w:pPr>
              <w:jc w:val="center"/>
              <w:rPr>
                <w:sz w:val="16"/>
                <w:szCs w:val="18"/>
                <w:highlight w:val="none"/>
              </w:rPr>
            </w:pPr>
          </w:p>
        </w:tc>
      </w:tr>
    </w:tbl>
    <w:p w14:paraId="359497F3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1CCD56F5">
      <w:pPr>
        <w:ind w:left="-170"/>
        <w:rPr>
          <w:rFonts w:ascii="Calibri" w:hAnsi="Calibri" w:cs="Arial"/>
          <w:sz w:val="14"/>
          <w:szCs w:val="14"/>
        </w:rPr>
      </w:pPr>
    </w:p>
    <w:p w14:paraId="3896A632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29AFA3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912D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3829FC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2025</w:t>
            </w:r>
          </w:p>
        </w:tc>
      </w:tr>
      <w:tr w14:paraId="6C5021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520F2953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2AB13BCE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4CD9AF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B3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293B">
            <w:pPr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2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</w:t>
            </w:r>
          </w:p>
        </w:tc>
      </w:tr>
      <w:tr w14:paraId="0D065A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193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BFE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C20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  <w:tr w14:paraId="3E67A8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3A4E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29A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A97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29AB8271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44EC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shd w:val="clear" w:color="auto" w:fill="auto"/>
            <w:vAlign w:val="center"/>
          </w:tcPr>
          <w:p w14:paraId="33B7F674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3768BF8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2025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 Octubre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5E47C0A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2023-2025</w:t>
            </w:r>
          </w:p>
          <w:p w14:paraId="0977686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083B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497EAF9D">
            <w:pPr>
              <w:rPr>
                <w:rFonts w:ascii="Calibri" w:hAnsi="Calibri" w:cs="Arial"/>
                <w:bCs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highlight w:val="none"/>
              </w:rPr>
              <w:t>Resultado 1</w:t>
            </w:r>
          </w:p>
        </w:tc>
        <w:tc>
          <w:tcPr>
            <w:tcW w:w="1191" w:type="dxa"/>
            <w:shd w:val="clear" w:color="auto" w:fill="auto"/>
          </w:tcPr>
          <w:p w14:paraId="1C23F6E0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1.00</w:t>
            </w:r>
          </w:p>
        </w:tc>
        <w:tc>
          <w:tcPr>
            <w:tcW w:w="1441" w:type="dxa"/>
            <w:shd w:val="clear" w:color="auto" w:fill="auto"/>
          </w:tcPr>
          <w:p w14:paraId="2AC2A4E0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87.50</w:t>
            </w:r>
          </w:p>
        </w:tc>
      </w:tr>
      <w:tr w14:paraId="101C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7EF4871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  <w:shd w:val="clear" w:color="auto" w:fill="auto"/>
          </w:tcPr>
          <w:p w14:paraId="05EF2F5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  <w:shd w:val="clear" w:color="auto" w:fill="auto"/>
          </w:tcPr>
          <w:p w14:paraId="43F7AFB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33.33</w:t>
            </w:r>
          </w:p>
        </w:tc>
      </w:tr>
      <w:tr w14:paraId="5D4C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39DEBD9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  <w:shd w:val="clear" w:color="auto" w:fill="auto"/>
          </w:tcPr>
          <w:p w14:paraId="311C5C6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  <w:shd w:val="clear" w:color="auto" w:fill="auto"/>
          </w:tcPr>
          <w:p w14:paraId="2812337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2C69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shd w:val="clear" w:color="auto" w:fill="auto"/>
            <w:vAlign w:val="center"/>
          </w:tcPr>
          <w:p w14:paraId="4BFC2792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2386EB5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auto"/>
          </w:tcPr>
          <w:p w14:paraId="09FF90F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71.05</w:t>
            </w:r>
          </w:p>
        </w:tc>
      </w:tr>
    </w:tbl>
    <w:p w14:paraId="609D5FC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1267BD91">
      <w:pPr>
        <w:jc w:val="both"/>
        <w:rPr>
          <w:sz w:val="14"/>
          <w:szCs w:val="14"/>
        </w:rPr>
      </w:pPr>
    </w:p>
    <w:p w14:paraId="116CCF83">
      <w:pPr>
        <w:jc w:val="both"/>
        <w:rPr>
          <w:sz w:val="14"/>
          <w:szCs w:val="14"/>
        </w:rPr>
      </w:pPr>
    </w:p>
    <w:p w14:paraId="1196167F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71CA34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1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C74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B62C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7A3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7D68889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2008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octubre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A86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octubre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2025 por Departamento/1</w:t>
            </w:r>
          </w:p>
        </w:tc>
      </w:tr>
      <w:tr w14:paraId="47E99C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F342D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A7A4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D9442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66C927E7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ADFF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37,600.00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EAC0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5.01</w:t>
            </w:r>
          </w:p>
        </w:tc>
      </w:tr>
      <w:tr w14:paraId="1562B7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7CD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6E6E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5C4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378,567.71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3F245C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50.41</w:t>
            </w:r>
          </w:p>
        </w:tc>
      </w:tr>
    </w:tbl>
    <w:p w14:paraId="0731761C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1E5BDE4E">
      <w:pPr>
        <w:ind w:left="-227" w:right="-57"/>
        <w:rPr>
          <w:sz w:val="14"/>
          <w:szCs w:val="14"/>
        </w:rPr>
      </w:pPr>
    </w:p>
    <w:p w14:paraId="086D30F5">
      <w:pPr>
        <w:ind w:left="-227" w:right="-57"/>
        <w:rPr>
          <w:sz w:val="22"/>
          <w:szCs w:val="22"/>
          <w:lang w:val="es-MX"/>
        </w:rPr>
      </w:pPr>
    </w:p>
    <w:p w14:paraId="27965954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7"/>
        <w:gridCol w:w="1617"/>
        <w:gridCol w:w="1202"/>
        <w:gridCol w:w="2382"/>
      </w:tblGrid>
      <w:tr w14:paraId="591C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shd w:val="clear" w:color="auto" w:fill="auto"/>
            <w:vAlign w:val="center"/>
          </w:tcPr>
          <w:p w14:paraId="4DEDC4FB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2025</w:t>
            </w:r>
          </w:p>
          <w:p w14:paraId="35AAA661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EBD9EDE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B849D5C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2995D639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  <w:shd w:val="clear" w:color="auto" w:fill="auto"/>
          </w:tcPr>
          <w:p w14:paraId="74480FA9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0B8DC72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05E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shd w:val="clear" w:color="auto" w:fill="auto"/>
            <w:noWrap/>
            <w:vAlign w:val="center"/>
          </w:tcPr>
          <w:p w14:paraId="40DE14FB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70F64DE1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  <w:t>80.67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 w14:paraId="46998499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71.05</w:t>
            </w:r>
          </w:p>
        </w:tc>
        <w:tc>
          <w:tcPr>
            <w:tcW w:w="1197" w:type="pct"/>
            <w:shd w:val="clear" w:color="auto" w:fill="auto"/>
            <w:noWrap/>
            <w:vAlign w:val="center"/>
          </w:tcPr>
          <w:p w14:paraId="0A80AFBC">
            <w:pPr>
              <w:jc w:val="center"/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18"/>
                <w:szCs w:val="18"/>
                <w:highlight w:val="none"/>
                <w:lang w:val="es-MX"/>
              </w:rPr>
              <w:t>50.41</w:t>
            </w:r>
          </w:p>
        </w:tc>
      </w:tr>
    </w:tbl>
    <w:p w14:paraId="5DF1E9BA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4A06514">
      <w:pPr>
        <w:jc w:val="both"/>
        <w:rPr>
          <w:sz w:val="14"/>
          <w:szCs w:val="14"/>
        </w:rPr>
      </w:pPr>
    </w:p>
    <w:p w14:paraId="3852884F">
      <w:pPr>
        <w:pStyle w:val="16"/>
        <w:numPr>
          <w:ilvl w:val="0"/>
          <w:numId w:val="7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51440295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0EF55E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3FDB3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</w:tcPr>
          <w:p w14:paraId="34C88143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0B13BAE3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485BA0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D712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FCD38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27DC41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9A07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9857F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D3A62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1946C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70405A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4A617EB5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6F8760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5665AC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2D36D1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B157A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07F3C0C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4BA90C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7D091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EE762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1365D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F60F5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B3393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4ACE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  <w:shd w:val="clear" w:color="auto" w:fill="auto"/>
          </w:tcPr>
          <w:p w14:paraId="5FA75FAD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  <w:shd w:val="clear" w:color="auto" w:fill="auto"/>
          </w:tcPr>
          <w:p w14:paraId="330E688F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477E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  <w:shd w:val="clear" w:color="auto" w:fill="auto"/>
          </w:tcPr>
          <w:p w14:paraId="5C15C303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  <w:shd w:val="clear" w:color="auto" w:fill="auto"/>
          </w:tcPr>
          <w:p w14:paraId="49E73F94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4813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  <w:shd w:val="clear" w:color="auto" w:fill="auto"/>
          </w:tcPr>
          <w:p w14:paraId="69E71A65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Subdirectora de la Unidad de Gestión de la Cooperación</w:t>
            </w:r>
          </w:p>
        </w:tc>
        <w:tc>
          <w:tcPr>
            <w:tcW w:w="5036" w:type="dxa"/>
            <w:shd w:val="clear" w:color="auto" w:fill="auto"/>
          </w:tcPr>
          <w:p w14:paraId="61EC7A11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0494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  <w:shd w:val="clear" w:color="auto" w:fill="auto"/>
          </w:tcPr>
          <w:p w14:paraId="3BE570D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  <w:shd w:val="clear" w:color="auto" w:fill="auto"/>
          </w:tcPr>
          <w:p w14:paraId="6C25E37B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7A25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  <w:shd w:val="clear" w:color="auto" w:fill="auto"/>
          </w:tcPr>
          <w:p w14:paraId="5C5E689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  <w:shd w:val="clear" w:color="auto" w:fill="auto"/>
          </w:tcPr>
          <w:p w14:paraId="2CDECB2F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2997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  <w:shd w:val="clear" w:color="auto" w:fill="auto"/>
          </w:tcPr>
          <w:p w14:paraId="11759507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  <w:shd w:val="clear" w:color="auto" w:fill="auto"/>
          </w:tcPr>
          <w:p w14:paraId="66E2E5D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2B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  <w:shd w:val="clear" w:color="auto" w:fill="auto"/>
          </w:tcPr>
          <w:p w14:paraId="2B6D63CE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  <w:shd w:val="clear" w:color="auto" w:fill="auto"/>
          </w:tcPr>
          <w:p w14:paraId="1E9A95AD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6168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  <w:shd w:val="clear" w:color="auto" w:fill="auto"/>
          </w:tcPr>
          <w:p w14:paraId="0A9CACA6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  <w:shd w:val="clear" w:color="auto" w:fill="auto"/>
          </w:tcPr>
          <w:p w14:paraId="37981B9F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6617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7D8CF3A0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236B4A8C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1C8D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31CC7C1F">
            <w:pPr>
              <w:tabs>
                <w:tab w:val="right" w:pos="4685"/>
              </w:tabs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CC27EF7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7F97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7D1CF3FF">
            <w:pPr>
              <w:ind w:left="708" w:hanging="708"/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Cargo: Directora de la Unidad de Gestión de la Cooperación 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5AC98242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2C85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  <w:shd w:val="clear" w:color="auto" w:fill="auto"/>
          </w:tcPr>
          <w:p w14:paraId="60993CF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71C4F8B1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48018F4C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MX"/>
        </w:rPr>
        <w:t>6</w:t>
      </w:r>
      <w:bookmarkStart w:id="0" w:name="_GoBack"/>
      <w:bookmarkEnd w:id="0"/>
      <w:r>
        <w:rPr>
          <w:i/>
          <w:iCs/>
          <w:lang w:val="es-MX"/>
        </w:rPr>
        <w:t xml:space="preserve"> de </w:t>
      </w:r>
      <w:r>
        <w:rPr>
          <w:rFonts w:hint="default"/>
          <w:i/>
          <w:iCs/>
          <w:lang w:val="es-MX"/>
        </w:rPr>
        <w:t>Noviembre</w:t>
      </w:r>
      <w:r>
        <w:rPr>
          <w:i/>
          <w:iCs/>
          <w:lang w:val="es-MX"/>
        </w:rPr>
        <w:t xml:space="preserve"> de 2025.</w:t>
      </w:r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D3DD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99DC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2CB63423"/>
    <w:multiLevelType w:val="singleLevel"/>
    <w:tmpl w:val="2CB63423"/>
    <w:lvl w:ilvl="0" w:tentative="0">
      <w:start w:val="17"/>
      <w:numFmt w:val="upperLetter"/>
      <w:suff w:val="space"/>
      <w:lvlText w:val="%1."/>
      <w:lvlJc w:val="left"/>
    </w:lvl>
  </w:abstractNum>
  <w:abstractNum w:abstractNumId="4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5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84F68AC"/>
    <w:multiLevelType w:val="multilevel"/>
    <w:tmpl w:val="684F68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6396C"/>
    <w:rsid w:val="00D66B23"/>
    <w:rsid w:val="00D8195F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E7B072"/>
    <w:rsid w:val="05AF4D01"/>
    <w:rsid w:val="08076EAB"/>
    <w:rsid w:val="08976DFB"/>
    <w:rsid w:val="08CC6ED9"/>
    <w:rsid w:val="09CD4027"/>
    <w:rsid w:val="0B0306F2"/>
    <w:rsid w:val="0BA15F71"/>
    <w:rsid w:val="0C604FAD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8306440"/>
    <w:rsid w:val="19C225DA"/>
    <w:rsid w:val="1BA60940"/>
    <w:rsid w:val="1BC532FD"/>
    <w:rsid w:val="1C40D093"/>
    <w:rsid w:val="1CCB3A86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254499"/>
    <w:rsid w:val="2606301C"/>
    <w:rsid w:val="27B82E8E"/>
    <w:rsid w:val="29F06376"/>
    <w:rsid w:val="2A2DECFC"/>
    <w:rsid w:val="2A3530F8"/>
    <w:rsid w:val="2AEF361E"/>
    <w:rsid w:val="2C31229E"/>
    <w:rsid w:val="2CEB423C"/>
    <w:rsid w:val="2F629825"/>
    <w:rsid w:val="30875E4A"/>
    <w:rsid w:val="327DF097"/>
    <w:rsid w:val="34699ED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E2F54D"/>
    <w:rsid w:val="5597553F"/>
    <w:rsid w:val="55D71575"/>
    <w:rsid w:val="56F87147"/>
    <w:rsid w:val="5798476D"/>
    <w:rsid w:val="59C54587"/>
    <w:rsid w:val="5B17D5F1"/>
    <w:rsid w:val="5D3D4E40"/>
    <w:rsid w:val="5E815901"/>
    <w:rsid w:val="5F255361"/>
    <w:rsid w:val="61E92274"/>
    <w:rsid w:val="62130A1D"/>
    <w:rsid w:val="62289613"/>
    <w:rsid w:val="629618D8"/>
    <w:rsid w:val="6408B3FD"/>
    <w:rsid w:val="67494DFB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A4435C3"/>
    <w:rsid w:val="7AC91B69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  <w:kern w:val="0"/>
      <w:sz w:val="20"/>
      <w:szCs w:val="20"/>
      <w:lang w:eastAsia="es-G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kern w:val="0"/>
      <w:sz w:val="24"/>
      <w:szCs w:val="24"/>
      <w:lang w:val="es-GT" w:eastAsia="es-ES" w:bidi="ar-SA"/>
      <w14:ligatures w14:val="none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on"/>
    <w:hidden/>
    <w:semiHidden/>
    <w:qFormat/>
    <w:uiPriority w:val="99"/>
    <w:rPr>
      <w:rFonts w:asciiTheme="minorHAnsi" w:hAnsiTheme="minorHAnsi" w:eastAsiaTheme="minorHAnsi" w:cstheme="minorBidi"/>
      <w:kern w:val="0"/>
      <w:sz w:val="24"/>
      <w:szCs w:val="24"/>
      <w:lang w:eastAsia="en-US" w:bidi="ar-SA"/>
      <w14:ligatures w14:val="none"/>
    </w:rPr>
  </w:style>
  <w:style w:type="character" w:customStyle="1" w:styleId="3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93DA2-C88E-4B64-932B-CF1E0C64BAD9}">
  <ds:schemaRefs/>
</ds:datastoreItem>
</file>

<file path=customXml/itemProps2.xml><?xml version="1.0" encoding="utf-8"?>
<ds:datastoreItem xmlns:ds="http://schemas.openxmlformats.org/officeDocument/2006/customXml" ds:itemID="{0B689D1E-8CF8-4CC9-BC0B-B855D094CCAF}">
  <ds:schemaRefs/>
</ds:datastoreItem>
</file>

<file path=customXml/itemProps3.xml><?xml version="1.0" encoding="utf-8"?>
<ds:datastoreItem xmlns:ds="http://schemas.openxmlformats.org/officeDocument/2006/customXml" ds:itemID="{058CA62F-0A32-4C71-BFD1-DEB25E150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228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2024-12-11T18:16:00Z</dcterms:created>
  <dc:creator>viCtor arrivillaga</dc:creator>
  <cp:lastModifiedBy>ctrujillo</cp:lastModifiedBy>
  <cp:lastPrinted>2025-10-02T17:28:00Z</cp:lastPrinted>
  <dcterms:modified xsi:type="dcterms:W3CDTF">2025-11-06T14:08:54Z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2058-12.2.0.23155</vt:lpwstr>
  </property>
  <property fmtid="{D5CDD505-2E9C-101B-9397-08002B2CF9AE}" pid="4" name="ICV">
    <vt:lpwstr>E749BAFA5D9E43D08F07FC45D71B0984_13</vt:lpwstr>
  </property>
</Properties>
</file>