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A6431">
      <w:bookmarkStart w:id="3" w:name="_GoBack"/>
      <w:bookmarkEnd w:id="3"/>
    </w:p>
    <w:p w14:paraId="74C1EBFC">
      <w:pPr>
        <w:rPr>
          <w:rFonts w:ascii="Book Antiqua" w:hAnsi="Book Antiqua" w:cs="Arial"/>
          <w:b/>
          <w:i/>
        </w:rPr>
      </w:pPr>
    </w:p>
    <w:p w14:paraId="471665A0">
      <w:pPr>
        <w:rPr>
          <w:rFonts w:ascii="Book Antiqua" w:hAnsi="Book Antiqua" w:cs="Arial"/>
          <w:b/>
          <w:i/>
        </w:rPr>
      </w:pPr>
    </w:p>
    <w:p w14:paraId="1448AA41">
      <w:pPr>
        <w:rPr>
          <w:rFonts w:ascii="Book Antiqua" w:hAnsi="Book Antiqua" w:cs="Arial"/>
          <w:b/>
          <w:i/>
        </w:rPr>
      </w:pPr>
    </w:p>
    <w:p w14:paraId="246AA17E">
      <w:pPr>
        <w:jc w:val="center"/>
        <w:rPr>
          <w:rFonts w:ascii="Book Antiqua" w:hAnsi="Book Antiqua"/>
          <w:b/>
          <w:bCs/>
          <w:i/>
          <w:iCs/>
        </w:rPr>
      </w:pPr>
      <w:r>
        <w:rPr>
          <w:rFonts w:ascii="Book Antiqua" w:hAnsi="Book Antiqua"/>
          <w:b/>
          <w:bCs/>
          <w:i/>
          <w:iCs/>
        </w:rPr>
        <w:t>Marco estratégico e institucional</w:t>
      </w:r>
    </w:p>
    <w:p w14:paraId="29C22728">
      <w:pPr>
        <w:rPr>
          <w:rFonts w:ascii="Book Antiqua" w:hAnsi="Book Antiqua"/>
          <w:b/>
          <w:bCs/>
          <w:i/>
          <w:iCs/>
        </w:rPr>
      </w:pPr>
    </w:p>
    <w:p w14:paraId="531F790B">
      <w:pPr>
        <w:rPr>
          <w:rFonts w:ascii="Book Antiqua" w:hAnsi="Book Antiqua"/>
          <w:b/>
          <w:bCs/>
          <w:i/>
          <w:iCs/>
        </w:rPr>
      </w:pPr>
    </w:p>
    <w:p w14:paraId="47778DB2">
      <w:pPr>
        <w:pStyle w:val="2"/>
        <w:numPr>
          <w:ilvl w:val="0"/>
          <w:numId w:val="0"/>
        </w:numPr>
        <w:spacing w:before="240" w:after="240"/>
        <w:rPr>
          <w:rFonts w:ascii="Book Antiqua" w:hAnsi="Book Antiqua"/>
          <w:bCs w:val="0"/>
          <w:i/>
          <w:color w:val="auto"/>
        </w:rPr>
      </w:pPr>
      <w:bookmarkStart w:id="0" w:name="_Toc193967129"/>
      <w:r>
        <w:rPr>
          <w:rFonts w:ascii="Book Antiqua" w:hAnsi="Book Antiqua"/>
          <w:bCs w:val="0"/>
          <w:i/>
          <w:color w:val="auto"/>
        </w:rPr>
        <w:t>Visión sustantiva del período estratégico</w:t>
      </w:r>
      <w:bookmarkEnd w:id="0"/>
    </w:p>
    <w:p w14:paraId="5083AF65">
      <w:pPr>
        <w:pStyle w:val="9"/>
        <w:spacing w:before="240" w:after="240" w:line="369" w:lineRule="auto"/>
        <w:jc w:val="both"/>
        <w:rPr>
          <w:rFonts w:ascii="Book Antiqua" w:hAnsi="Book Antiqua" w:eastAsiaTheme="minorHAnsi" w:cstheme="minorBidi"/>
          <w:iCs w:val="0"/>
          <w:sz w:val="24"/>
          <w:szCs w:val="24"/>
          <w:lang w:val="es-GT"/>
        </w:rPr>
      </w:pPr>
      <w:bookmarkStart w:id="1" w:name="_Hlk203734716"/>
      <w:r>
        <w:rPr>
          <w:rFonts w:ascii="Book Antiqua" w:hAnsi="Book Antiqua" w:eastAsiaTheme="minorHAnsi" w:cstheme="minorBidi"/>
          <w:iCs w:val="0"/>
          <w:sz w:val="24"/>
          <w:szCs w:val="24"/>
          <w:lang w:val="es-GT"/>
        </w:rPr>
        <w:t xml:space="preserve">Al 2032, la Seprem se consolida como la institución referente para la representación del Estado, en la asesoría, coordinación y posicionamiento estratégico, al impulsar acciones de políticas públicas innovadoras para mejorar las condiciones de vida de las </w:t>
      </w:r>
      <w:bookmarkStart w:id="2" w:name="_Hlk203040254"/>
      <w:r>
        <w:rPr>
          <w:rFonts w:ascii="Book Antiqua" w:hAnsi="Book Antiqua" w:eastAsiaTheme="minorHAnsi" w:cstheme="minorBidi"/>
          <w:iCs w:val="0"/>
          <w:sz w:val="24"/>
          <w:szCs w:val="24"/>
          <w:lang w:val="es-GT"/>
        </w:rPr>
        <w:t>mujeres mayas, garífunas/afrodescendientes, xincas, mestizas/ladinas</w:t>
      </w:r>
      <w:bookmarkEnd w:id="2"/>
      <w:r>
        <w:rPr>
          <w:rFonts w:ascii="Book Antiqua" w:hAnsi="Book Antiqua" w:eastAsiaTheme="minorHAnsi" w:cstheme="minorBidi"/>
          <w:iCs w:val="0"/>
          <w:sz w:val="24"/>
          <w:szCs w:val="24"/>
          <w:lang w:val="es-GT"/>
        </w:rPr>
        <w:t>, mediante la promoción de la equidad e igualdad entre hombres y mujeres en el sector público y la implementación de procesos formativos dirigidos a estos grupos clave, contribuyendo a la construcción de una Guatemala más equitativa, propiciando que las mujeres tengan un papel activo y decisivo en el desarrollo nacional y local.</w:t>
      </w:r>
    </w:p>
    <w:bookmarkEnd w:id="1"/>
    <w:p w14:paraId="1DEFB245">
      <w:pPr>
        <w:pStyle w:val="9"/>
        <w:spacing w:before="240" w:after="240" w:line="369" w:lineRule="auto"/>
        <w:jc w:val="both"/>
        <w:rPr>
          <w:rFonts w:ascii="Book Antiqua" w:hAnsi="Book Antiqua" w:eastAsiaTheme="minorHAnsi" w:cstheme="minorBidi"/>
          <w:b/>
          <w:bCs/>
          <w:iCs w:val="0"/>
          <w:sz w:val="24"/>
          <w:szCs w:val="24"/>
          <w:lang w:val="es-GT"/>
        </w:rPr>
      </w:pPr>
      <w:r>
        <w:rPr>
          <w:rFonts w:ascii="Book Antiqua" w:hAnsi="Book Antiqua" w:eastAsiaTheme="minorHAnsi" w:cstheme="minorBidi"/>
          <w:b/>
          <w:bCs/>
          <w:iCs w:val="0"/>
          <w:sz w:val="24"/>
          <w:szCs w:val="24"/>
          <w:lang w:val="es-GT"/>
        </w:rPr>
        <w:t>Misión</w:t>
      </w:r>
    </w:p>
    <w:p w14:paraId="1AC437AB">
      <w:pPr>
        <w:pStyle w:val="9"/>
        <w:spacing w:before="240" w:after="240" w:line="369" w:lineRule="auto"/>
        <w:jc w:val="both"/>
        <w:rPr>
          <w:rFonts w:ascii="Book Antiqua" w:hAnsi="Book Antiqua" w:eastAsiaTheme="minorHAnsi" w:cstheme="minorBidi"/>
          <w:iCs w:val="0"/>
          <w:sz w:val="24"/>
          <w:szCs w:val="24"/>
          <w:lang w:val="es-GT"/>
        </w:rPr>
      </w:pPr>
      <w:r>
        <w:rPr>
          <w:rFonts w:ascii="Book Antiqua" w:hAnsi="Book Antiqua" w:eastAsiaTheme="minorHAnsi" w:cstheme="minorBidi"/>
          <w:iCs w:val="0"/>
          <w:sz w:val="24"/>
          <w:szCs w:val="24"/>
          <w:lang w:val="es-GT"/>
        </w:rPr>
        <w:t>Somos el mecanismo al más alto nivel que representa al Estado y promueve la equidad e igualdad entre hombres y mujeres, por medio de la asesoría a instituciones públicas y coordinación de acciones para la aplicación efectiva de políticas y el cumplimiento de estándares internacionales, en atención a los principios de ética, inclusión, solidaridad, tolerancia y transparencia.</w:t>
      </w:r>
    </w:p>
    <w:p w14:paraId="625CE064">
      <w:pPr>
        <w:pStyle w:val="9"/>
        <w:numPr>
          <w:ilvl w:val="1"/>
          <w:numId w:val="1"/>
        </w:numPr>
        <w:spacing w:before="240" w:after="240" w:line="369" w:lineRule="auto"/>
        <w:jc w:val="both"/>
        <w:rPr>
          <w:rFonts w:ascii="Book Antiqua" w:hAnsi="Book Antiqua" w:eastAsiaTheme="minorHAnsi" w:cstheme="minorBidi"/>
          <w:b/>
          <w:bCs/>
          <w:iCs w:val="0"/>
          <w:sz w:val="24"/>
          <w:szCs w:val="24"/>
          <w:lang w:val="es-GT"/>
        </w:rPr>
      </w:pPr>
      <w:r>
        <w:rPr>
          <w:rFonts w:ascii="Book Antiqua" w:hAnsi="Book Antiqua" w:eastAsiaTheme="minorHAnsi" w:cstheme="minorBidi"/>
          <w:b/>
          <w:bCs/>
          <w:iCs w:val="0"/>
          <w:sz w:val="24"/>
          <w:szCs w:val="24"/>
          <w:lang w:val="es-GT"/>
        </w:rPr>
        <w:t>Objetivo Estratégico</w:t>
      </w:r>
    </w:p>
    <w:p w14:paraId="05CA4553">
      <w:pPr>
        <w:pStyle w:val="9"/>
        <w:spacing w:before="240" w:after="240" w:line="369" w:lineRule="auto"/>
        <w:jc w:val="both"/>
        <w:rPr>
          <w:rFonts w:ascii="Book Antiqua" w:hAnsi="Book Antiqua" w:eastAsiaTheme="minorHAnsi" w:cstheme="minorBidi"/>
          <w:iCs w:val="0"/>
          <w:sz w:val="24"/>
          <w:szCs w:val="24"/>
          <w:lang w:val="es-GT"/>
        </w:rPr>
      </w:pPr>
      <w:r>
        <w:rPr>
          <w:rFonts w:ascii="Book Antiqua" w:hAnsi="Book Antiqua" w:eastAsiaTheme="minorHAnsi" w:cstheme="minorBidi"/>
          <w:iCs w:val="0"/>
          <w:sz w:val="24"/>
          <w:szCs w:val="24"/>
          <w:lang w:val="es-GT"/>
        </w:rPr>
        <w:t>Para el 2032, incrementar al 80 % los procesos para fortalecer las capacidades técnicas con intervenciones focalizadas que mejoren la oferta programática de las entidades públicas para el cierre de brechas de inequidad entre hombres y mujeres (de 3 % en 2023 a 80 % en 2032).</w:t>
      </w:r>
    </w:p>
    <w:p w14:paraId="1FCA93A6">
      <w:pPr>
        <w:rPr>
          <w:rFonts w:ascii="Book Antiqua" w:hAnsi="Book Antiqua" w:eastAsiaTheme="minorHAnsi" w:cstheme="minorBidi"/>
          <w:iCs w:val="0"/>
          <w:sz w:val="24"/>
          <w:szCs w:val="24"/>
          <w:lang w:val="es-GT"/>
        </w:rPr>
      </w:pPr>
      <w:r>
        <w:rPr>
          <w:rFonts w:ascii="Book Antiqua" w:hAnsi="Book Antiqua" w:eastAsiaTheme="minorHAnsi" w:cstheme="minorBidi"/>
          <w:iCs w:val="0"/>
          <w:sz w:val="24"/>
          <w:szCs w:val="24"/>
          <w:lang w:val="es-GT"/>
        </w:rPr>
        <w:br w:type="page"/>
      </w:r>
    </w:p>
    <w:p w14:paraId="49F37E46">
      <w:pPr>
        <w:pStyle w:val="9"/>
        <w:spacing w:before="240" w:after="240" w:line="369" w:lineRule="auto"/>
        <w:jc w:val="both"/>
        <w:rPr>
          <w:rFonts w:ascii="Book Antiqua" w:hAnsi="Book Antiqua" w:eastAsiaTheme="minorHAnsi" w:cstheme="minorBidi"/>
          <w:iCs w:val="0"/>
          <w:sz w:val="24"/>
          <w:szCs w:val="24"/>
          <w:lang w:val="es-GT"/>
        </w:rPr>
      </w:pPr>
    </w:p>
    <w:p w14:paraId="7F3792AC">
      <w:pPr>
        <w:pStyle w:val="9"/>
        <w:spacing w:before="240" w:after="240" w:line="369" w:lineRule="auto"/>
        <w:jc w:val="both"/>
        <w:rPr>
          <w:rFonts w:ascii="Book Antiqua" w:hAnsi="Book Antiqua" w:eastAsiaTheme="minorHAnsi" w:cstheme="minorBidi"/>
          <w:iCs w:val="0"/>
          <w:sz w:val="24"/>
          <w:szCs w:val="24"/>
          <w:lang w:val="es-GT"/>
        </w:rPr>
      </w:pPr>
    </w:p>
    <w:p w14:paraId="398EFCF4">
      <w:pPr>
        <w:pStyle w:val="9"/>
        <w:numPr>
          <w:ilvl w:val="2"/>
          <w:numId w:val="1"/>
        </w:numPr>
        <w:spacing w:before="240" w:after="240" w:line="369" w:lineRule="auto"/>
        <w:jc w:val="both"/>
        <w:rPr>
          <w:rFonts w:ascii="Book Antiqua" w:hAnsi="Book Antiqua" w:eastAsiaTheme="minorHAnsi" w:cstheme="minorBidi"/>
          <w:b/>
          <w:bCs/>
          <w:iCs w:val="0"/>
          <w:sz w:val="24"/>
          <w:szCs w:val="24"/>
          <w:lang w:val="es-GT"/>
        </w:rPr>
      </w:pPr>
      <w:r>
        <w:rPr>
          <w:rFonts w:ascii="Book Antiqua" w:hAnsi="Book Antiqua" w:eastAsiaTheme="minorHAnsi" w:cstheme="minorBidi"/>
          <w:b/>
          <w:bCs/>
          <w:iCs w:val="0"/>
          <w:sz w:val="24"/>
          <w:szCs w:val="24"/>
          <w:lang w:val="es-GT"/>
        </w:rPr>
        <w:t>Objetivos Operativos</w:t>
      </w:r>
    </w:p>
    <w:p w14:paraId="3D8AF894">
      <w:pPr>
        <w:pStyle w:val="9"/>
        <w:numPr>
          <w:ilvl w:val="0"/>
          <w:numId w:val="2"/>
        </w:numPr>
        <w:spacing w:before="240" w:after="240" w:line="369" w:lineRule="auto"/>
        <w:jc w:val="both"/>
        <w:rPr>
          <w:rFonts w:ascii="Book Antiqua" w:hAnsi="Book Antiqua" w:eastAsiaTheme="minorHAnsi" w:cstheme="minorBidi"/>
          <w:iCs w:val="0"/>
          <w:sz w:val="24"/>
          <w:szCs w:val="24"/>
          <w:lang w:val="es-GT"/>
        </w:rPr>
      </w:pPr>
      <w:r>
        <w:rPr>
          <w:rFonts w:ascii="Book Antiqua" w:hAnsi="Book Antiqua" w:eastAsiaTheme="minorHAnsi" w:cstheme="minorBidi"/>
          <w:iCs w:val="0"/>
          <w:sz w:val="24"/>
          <w:szCs w:val="24"/>
          <w:lang w:val="es-GT"/>
        </w:rPr>
        <w:t xml:space="preserve">Asesorar a 286 entidades públicas y espacios estratégicos para la gestión de políticas públicas desde un marco de control de convencionalidad. </w:t>
      </w:r>
    </w:p>
    <w:p w14:paraId="176F1ABD">
      <w:pPr>
        <w:pStyle w:val="9"/>
        <w:numPr>
          <w:ilvl w:val="0"/>
          <w:numId w:val="2"/>
        </w:numPr>
        <w:spacing w:before="240" w:after="240" w:line="369" w:lineRule="auto"/>
        <w:jc w:val="both"/>
        <w:rPr>
          <w:rFonts w:ascii="Book Antiqua" w:hAnsi="Book Antiqua" w:eastAsiaTheme="minorHAnsi" w:cstheme="minorBidi"/>
          <w:iCs w:val="0"/>
          <w:sz w:val="24"/>
          <w:szCs w:val="24"/>
          <w:lang w:val="es-GT"/>
        </w:rPr>
      </w:pPr>
      <w:r>
        <w:rPr>
          <w:rFonts w:ascii="Book Antiqua" w:hAnsi="Book Antiqua" w:eastAsiaTheme="minorHAnsi" w:cstheme="minorBidi"/>
          <w:iCs w:val="0"/>
          <w:sz w:val="24"/>
          <w:szCs w:val="24"/>
          <w:lang w:val="es-GT"/>
        </w:rPr>
        <w:t>Asistir técnicamente a 7 entidades públicas en el abordaje de la comunicación y generación de estadísticas sobre brechas de equidad e igualdad entre hombres y mujeres.</w:t>
      </w:r>
    </w:p>
    <w:p w14:paraId="1C617764">
      <w:pPr>
        <w:pStyle w:val="9"/>
        <w:numPr>
          <w:ilvl w:val="0"/>
          <w:numId w:val="2"/>
        </w:numPr>
        <w:spacing w:before="240" w:after="240" w:line="369" w:lineRule="auto"/>
        <w:jc w:val="both"/>
        <w:rPr>
          <w:rFonts w:ascii="Book Antiqua" w:hAnsi="Book Antiqua" w:eastAsiaTheme="minorHAnsi" w:cstheme="minorBidi"/>
          <w:iCs w:val="0"/>
          <w:sz w:val="24"/>
          <w:szCs w:val="24"/>
          <w:lang w:val="es-GT"/>
        </w:rPr>
      </w:pPr>
      <w:r>
        <w:rPr>
          <w:rFonts w:ascii="Book Antiqua" w:hAnsi="Book Antiqua" w:eastAsiaTheme="minorHAnsi" w:cstheme="minorBidi"/>
          <w:iCs w:val="0"/>
          <w:sz w:val="24"/>
          <w:szCs w:val="24"/>
          <w:lang w:val="es-GT"/>
        </w:rPr>
        <w:t>Elaborar 14 informes de seguimiento a compromisos internacionales y de normativas sobre derechos humanos de las mujeres.</w:t>
      </w:r>
    </w:p>
    <w:p w14:paraId="2A53C1CB">
      <w:pPr>
        <w:pStyle w:val="9"/>
        <w:numPr>
          <w:ilvl w:val="0"/>
          <w:numId w:val="2"/>
        </w:numPr>
        <w:spacing w:before="240" w:after="240" w:line="369" w:lineRule="auto"/>
        <w:jc w:val="both"/>
        <w:rPr>
          <w:rFonts w:ascii="Book Antiqua" w:hAnsi="Book Antiqua" w:eastAsiaTheme="minorHAnsi" w:cstheme="minorBidi"/>
          <w:iCs w:val="0"/>
          <w:sz w:val="24"/>
          <w:szCs w:val="24"/>
          <w:lang w:val="es-GT"/>
        </w:rPr>
      </w:pPr>
      <w:r>
        <w:rPr>
          <w:rFonts w:ascii="Book Antiqua" w:hAnsi="Book Antiqua" w:eastAsiaTheme="minorHAnsi" w:cstheme="minorBidi"/>
          <w:iCs w:val="0"/>
          <w:sz w:val="24"/>
          <w:szCs w:val="24"/>
          <w:lang w:val="es-GT"/>
        </w:rPr>
        <w:t>Coordinar técnica y operativamente el desarrollo institucional de la Secretaría Presidencial de la Mujer, elaborando anualmente 12 informes consolidados de la gestión institucional.</w:t>
      </w:r>
    </w:p>
    <w:p w14:paraId="34904F22">
      <w:pPr>
        <w:pStyle w:val="9"/>
        <w:numPr>
          <w:ilvl w:val="2"/>
          <w:numId w:val="1"/>
        </w:numPr>
        <w:spacing w:before="240" w:after="240" w:line="369" w:lineRule="auto"/>
        <w:jc w:val="both"/>
        <w:rPr>
          <w:rFonts w:ascii="Book Antiqua" w:hAnsi="Book Antiqua" w:eastAsiaTheme="minorHAnsi" w:cstheme="minorBidi"/>
          <w:b/>
          <w:bCs/>
          <w:iCs w:val="0"/>
          <w:sz w:val="24"/>
          <w:szCs w:val="24"/>
          <w:lang w:val="es-GT"/>
        </w:rPr>
      </w:pPr>
      <w:r>
        <w:rPr>
          <w:rFonts w:ascii="Book Antiqua" w:hAnsi="Book Antiqua" w:eastAsiaTheme="minorHAnsi" w:cstheme="minorBidi"/>
          <w:b/>
          <w:bCs/>
          <w:iCs w:val="0"/>
          <w:sz w:val="24"/>
          <w:szCs w:val="24"/>
          <w:lang w:val="es-GT"/>
        </w:rPr>
        <w:t xml:space="preserve">Objetivo de Información </w:t>
      </w:r>
    </w:p>
    <w:p w14:paraId="3494BF2F">
      <w:pPr>
        <w:pStyle w:val="9"/>
        <w:numPr>
          <w:ilvl w:val="0"/>
          <w:numId w:val="3"/>
        </w:numPr>
        <w:spacing w:before="240" w:after="240" w:line="369" w:lineRule="auto"/>
        <w:jc w:val="both"/>
        <w:rPr>
          <w:rFonts w:ascii="Book Antiqua" w:hAnsi="Book Antiqua" w:eastAsiaTheme="minorHAnsi" w:cstheme="minorBidi"/>
          <w:iCs w:val="0"/>
          <w:sz w:val="24"/>
          <w:szCs w:val="24"/>
          <w:lang w:val="es-GT"/>
        </w:rPr>
      </w:pPr>
      <w:r>
        <w:rPr>
          <w:rFonts w:ascii="Book Antiqua" w:hAnsi="Book Antiqua" w:eastAsiaTheme="minorHAnsi" w:cstheme="minorBidi"/>
          <w:iCs w:val="0"/>
          <w:sz w:val="24"/>
          <w:szCs w:val="24"/>
          <w:lang w:val="es-GT"/>
        </w:rPr>
        <w:t>Generar información institucional de carácter financiero u operativo, de calidad y en los plazos establecidos, para la toma de decisiones y rendición de cuentas, en cumplimiento a la leyes y regulaciones aplicables.</w:t>
      </w:r>
    </w:p>
    <w:p w14:paraId="34915CFD">
      <w:pPr>
        <w:pStyle w:val="9"/>
        <w:numPr>
          <w:ilvl w:val="2"/>
          <w:numId w:val="1"/>
        </w:numPr>
        <w:spacing w:before="240" w:after="240" w:line="369" w:lineRule="auto"/>
        <w:jc w:val="both"/>
        <w:rPr>
          <w:rFonts w:ascii="Book Antiqua" w:hAnsi="Book Antiqua" w:eastAsiaTheme="minorHAnsi" w:cstheme="minorBidi"/>
          <w:b/>
          <w:bCs/>
          <w:iCs w:val="0"/>
          <w:sz w:val="24"/>
          <w:szCs w:val="24"/>
          <w:lang w:val="es-GT"/>
        </w:rPr>
      </w:pPr>
      <w:r>
        <w:rPr>
          <w:rFonts w:ascii="Book Antiqua" w:hAnsi="Book Antiqua" w:eastAsiaTheme="minorHAnsi" w:cstheme="minorBidi"/>
          <w:b/>
          <w:bCs/>
          <w:iCs w:val="0"/>
          <w:sz w:val="24"/>
          <w:szCs w:val="24"/>
          <w:lang w:val="es-GT"/>
        </w:rPr>
        <w:t>Objetivo de Cumplimiento Normativo</w:t>
      </w:r>
    </w:p>
    <w:p w14:paraId="1684D32A">
      <w:pPr>
        <w:pStyle w:val="9"/>
        <w:numPr>
          <w:ilvl w:val="0"/>
          <w:numId w:val="3"/>
        </w:numPr>
        <w:spacing w:before="240" w:after="240" w:line="369" w:lineRule="auto"/>
        <w:jc w:val="both"/>
        <w:rPr>
          <w:rFonts w:ascii="Book Antiqua" w:hAnsi="Book Antiqua" w:eastAsiaTheme="minorHAnsi" w:cstheme="minorBidi"/>
          <w:iCs w:val="0"/>
          <w:sz w:val="24"/>
          <w:szCs w:val="24"/>
          <w:lang w:val="es-GT"/>
        </w:rPr>
      </w:pPr>
      <w:r>
        <w:rPr>
          <w:rFonts w:ascii="Book Antiqua" w:hAnsi="Book Antiqua" w:eastAsiaTheme="minorHAnsi" w:cstheme="minorBidi"/>
          <w:iCs w:val="0"/>
          <w:sz w:val="24"/>
          <w:szCs w:val="24"/>
          <w:lang w:val="es-GT"/>
        </w:rPr>
        <w:t xml:space="preserve">Dar cumplimiento a las leyes y regulaciones, normativas y compromisos contractuales estableciendo controles eficientes en el marco de las funciones, responsabilidades y la rendición de cuentas. </w:t>
      </w:r>
    </w:p>
    <w:p w14:paraId="045FCC0A">
      <w:pPr>
        <w:rPr>
          <w:rFonts w:ascii="Book Antiqua" w:hAnsi="Book Antiqua"/>
          <w:b/>
          <w:bCs/>
          <w:i/>
          <w:iCs/>
        </w:rPr>
      </w:pPr>
    </w:p>
    <w:p w14:paraId="72C0D06D">
      <w:pPr>
        <w:rPr>
          <w:rFonts w:ascii="Book Antiqua" w:hAnsi="Book Antiqua"/>
          <w:b/>
          <w:bCs/>
          <w:i/>
          <w:iCs/>
        </w:rPr>
      </w:pPr>
    </w:p>
    <w:p w14:paraId="1B878C5D">
      <w:pPr>
        <w:rPr>
          <w:rFonts w:ascii="Book Antiqua" w:hAnsi="Book Antiqua"/>
          <w:b/>
          <w:bCs/>
          <w:i/>
          <w:iCs/>
          <w:lang w:eastAsia="es-GT"/>
        </w:rPr>
      </w:pPr>
    </w:p>
    <w:sectPr>
      <w:headerReference r:id="rId3" w:type="default"/>
      <w:footerReference r:id="rId4" w:type="default"/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8000012" w:usb3="00000000" w:csb0="4002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6D3DD">
    <w:pPr>
      <w:pStyle w:val="8"/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F68015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0lY7tAA&#10;AAAFAQAADwAAAAAAAAABACAAAAAiAAAAZHJzL2Rvd25yZXYueG1sUEsBAhQAFAAAAAgAh07iQF4G&#10;658nAgAAZwQAAA4AAAAAAAAAAQAgAAAAHw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F68015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-1205230</wp:posOffset>
          </wp:positionH>
          <wp:positionV relativeFrom="paragraph">
            <wp:posOffset>-227965</wp:posOffset>
          </wp:positionV>
          <wp:extent cx="7862570" cy="783590"/>
          <wp:effectExtent l="0" t="0" r="0" b="3810"/>
          <wp:wrapNone/>
          <wp:docPr id="5795582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58295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620" cy="783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499DC">
    <w:pPr>
      <w:pStyle w:val="6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-67945</wp:posOffset>
          </wp:positionV>
          <wp:extent cx="2350770" cy="956310"/>
          <wp:effectExtent l="0" t="0" r="0" b="0"/>
          <wp:wrapSquare wrapText="bothSides"/>
          <wp:docPr id="2585259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525984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770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320723"/>
    <w:multiLevelType w:val="multilevel"/>
    <w:tmpl w:val="2232072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6E359A6"/>
    <w:multiLevelType w:val="multilevel"/>
    <w:tmpl w:val="36E359A6"/>
    <w:lvl w:ilvl="0" w:tentative="0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721A2D9D"/>
    <w:multiLevelType w:val="multilevel"/>
    <w:tmpl w:val="721A2D9D"/>
    <w:lvl w:ilvl="0" w:tentative="0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16BF9"/>
    <w:rsid w:val="00023CD2"/>
    <w:rsid w:val="000A4073"/>
    <w:rsid w:val="000E1412"/>
    <w:rsid w:val="001219A7"/>
    <w:rsid w:val="001355E7"/>
    <w:rsid w:val="0017524C"/>
    <w:rsid w:val="00182C0C"/>
    <w:rsid w:val="00183516"/>
    <w:rsid w:val="001C37D7"/>
    <w:rsid w:val="001D0879"/>
    <w:rsid w:val="001F5BD2"/>
    <w:rsid w:val="0021748C"/>
    <w:rsid w:val="002320C2"/>
    <w:rsid w:val="00232CA7"/>
    <w:rsid w:val="00304A5D"/>
    <w:rsid w:val="00322069"/>
    <w:rsid w:val="003B757C"/>
    <w:rsid w:val="003D5FEF"/>
    <w:rsid w:val="00402EB9"/>
    <w:rsid w:val="0042155F"/>
    <w:rsid w:val="004630D6"/>
    <w:rsid w:val="00463C62"/>
    <w:rsid w:val="00504135"/>
    <w:rsid w:val="0054062A"/>
    <w:rsid w:val="005527F5"/>
    <w:rsid w:val="0058425E"/>
    <w:rsid w:val="005D3396"/>
    <w:rsid w:val="005E09D7"/>
    <w:rsid w:val="005F3DD2"/>
    <w:rsid w:val="00673975"/>
    <w:rsid w:val="006A745A"/>
    <w:rsid w:val="006E074B"/>
    <w:rsid w:val="0075742B"/>
    <w:rsid w:val="00771204"/>
    <w:rsid w:val="007D312E"/>
    <w:rsid w:val="00870270"/>
    <w:rsid w:val="00890D67"/>
    <w:rsid w:val="008B1460"/>
    <w:rsid w:val="008B351C"/>
    <w:rsid w:val="008E5340"/>
    <w:rsid w:val="008E5EBF"/>
    <w:rsid w:val="00921A3E"/>
    <w:rsid w:val="00950217"/>
    <w:rsid w:val="00980495"/>
    <w:rsid w:val="009E31F1"/>
    <w:rsid w:val="00A10CD4"/>
    <w:rsid w:val="00A752D1"/>
    <w:rsid w:val="00AB31C5"/>
    <w:rsid w:val="00BA0B6B"/>
    <w:rsid w:val="00BB1600"/>
    <w:rsid w:val="00BC7E42"/>
    <w:rsid w:val="00C00B07"/>
    <w:rsid w:val="00C74E63"/>
    <w:rsid w:val="00CD1A9E"/>
    <w:rsid w:val="00CE427C"/>
    <w:rsid w:val="00D222A3"/>
    <w:rsid w:val="00D352F8"/>
    <w:rsid w:val="00D51B04"/>
    <w:rsid w:val="00D635E1"/>
    <w:rsid w:val="00E1316D"/>
    <w:rsid w:val="00E13919"/>
    <w:rsid w:val="00E73F16"/>
    <w:rsid w:val="00E77921"/>
    <w:rsid w:val="00EA4A83"/>
    <w:rsid w:val="00EE5C52"/>
    <w:rsid w:val="00EF28F7"/>
    <w:rsid w:val="00F2078D"/>
    <w:rsid w:val="00F35EB7"/>
    <w:rsid w:val="01E96418"/>
    <w:rsid w:val="07893ADD"/>
    <w:rsid w:val="18524F14"/>
    <w:rsid w:val="1BFD6255"/>
    <w:rsid w:val="273B6FF5"/>
    <w:rsid w:val="3DC228F2"/>
    <w:rsid w:val="4E7A4CF0"/>
    <w:rsid w:val="6F313FF8"/>
    <w:rsid w:val="7758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es-GT" w:eastAsia="en-US" w:bidi="ar-SA"/>
      <w14:ligatures w14:val="standardContextual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419"/>
        <w:tab w:val="right" w:pos="8838"/>
      </w:tabs>
    </w:p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s-GT"/>
      <w14:ligatures w14:val="none"/>
    </w:rPr>
  </w:style>
  <w:style w:type="paragraph" w:styleId="8">
    <w:name w:val="footer"/>
    <w:basedOn w:val="1"/>
    <w:link w:val="11"/>
    <w:unhideWhenUsed/>
    <w:qFormat/>
    <w:uiPriority w:val="99"/>
    <w:pPr>
      <w:tabs>
        <w:tab w:val="center" w:pos="4419"/>
        <w:tab w:val="right" w:pos="8838"/>
      </w:tabs>
    </w:pPr>
  </w:style>
  <w:style w:type="paragraph" w:styleId="9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Cambria" w:hAnsi="Cambria" w:eastAsia="Cambria" w:cs="Cambria"/>
      <w:i/>
      <w:iCs/>
      <w:lang w:val="es-ES"/>
    </w:rPr>
  </w:style>
  <w:style w:type="character" w:customStyle="1" w:styleId="10">
    <w:name w:val="Encabezado Car"/>
    <w:basedOn w:val="3"/>
    <w:link w:val="6"/>
    <w:qFormat/>
    <w:uiPriority w:val="99"/>
  </w:style>
  <w:style w:type="character" w:customStyle="1" w:styleId="11">
    <w:name w:val="Pie de página Car"/>
    <w:basedOn w:val="3"/>
    <w:link w:val="8"/>
    <w:qFormat/>
    <w:uiPriority w:val="99"/>
  </w:style>
  <w:style w:type="paragraph" w:styleId="12">
    <w:name w:val="List Paragraph"/>
    <w:basedOn w:val="1"/>
    <w:qFormat/>
    <w:uiPriority w:val="34"/>
    <w:pPr>
      <w:ind w:left="720"/>
      <w:contextualSpacing/>
    </w:pPr>
    <w:rPr>
      <w:rFonts w:ascii="Cambria" w:hAnsi="Cambria" w:eastAsia="MS Mincho" w:cs="Times New Roman"/>
      <w:kern w:val="0"/>
      <w14:ligatures w14:val="none"/>
    </w:rPr>
  </w:style>
  <w:style w:type="table" w:customStyle="1" w:styleId="13">
    <w:name w:val="Tabla con cuadrícula 5 oscura - Énfasis 51"/>
    <w:basedOn w:val="4"/>
    <w:qFormat/>
    <w:uiPriority w:val="50"/>
    <w:rPr>
      <w:kern w:val="0"/>
      <w14:ligatures w14:val="none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cPr>
        <w:shd w:val="clear" w:color="auto" w:fill="BDD6EE" w:themeFill="accent5" w:themeFillTint="66"/>
      </w:tcPr>
    </w:tblStylePr>
    <w:tblStylePr w:type="band1Horz">
      <w:tcPr>
        <w:shd w:val="clear" w:color="auto" w:fill="BDD6EE" w:themeFill="accent5" w:themeFillTint="66"/>
      </w:tcPr>
    </w:tblStylePr>
  </w:style>
  <w:style w:type="character" w:customStyle="1" w:styleId="14">
    <w:name w:val="apple-tab-span"/>
    <w:basedOn w:val="3"/>
    <w:qFormat/>
    <w:uiPriority w:val="0"/>
  </w:style>
  <w:style w:type="paragraph" w:customStyle="1" w:styleId="15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es-GT"/>
      <w14:ligatures w14:val="none"/>
    </w:rPr>
  </w:style>
  <w:style w:type="character" w:customStyle="1" w:styleId="16">
    <w:name w:val="normaltextrun"/>
    <w:basedOn w:val="3"/>
    <w:qFormat/>
    <w:uiPriority w:val="0"/>
  </w:style>
  <w:style w:type="character" w:customStyle="1" w:styleId="17">
    <w:name w:val="eop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784</Characters>
  <Lines>6</Lines>
  <Paragraphs>1</Paragraphs>
  <TotalTime>3</TotalTime>
  <ScaleCrop>false</ScaleCrop>
  <LinksUpToDate>false</LinksUpToDate>
  <CharactersWithSpaces>925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2024-12-11T21:38:00Z</dcterms:created>
  <dc:creator>viCtor arrivillaga</dc:creator>
  <cp:lastModifiedBy>silvia.muralles</cp:lastModifiedBy>
  <cp:lastPrinted>2025-07-22T18:52:00Z</cp:lastPrinted>
  <dcterms:modified xsi:type="dcterms:W3CDTF">2025-07-23T14:34:32Z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2058-12.2.0.21546</vt:lpwstr>
  </property>
  <property fmtid="{D5CDD505-2E9C-101B-9397-08002B2CF9AE}" pid="3" name="ICV">
    <vt:lpwstr>3C17BCBD0DD24B21A9E1DF842E8A82B4_13</vt:lpwstr>
  </property>
</Properties>
</file>